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58b89" w14:textId="6458b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Тайыншинского района Северо-Казахстанской области от 17 января 2014 года № 158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Тайыншинского района Северо-Казахстанской области от 5 ноября 2014 года № 233. Зарегистрировано Департаментом юстиции Северо-Казахстанской области 14 ноября 2014 года № 2986. Утратило силу решением маслихата Тайыншинского района Северо-Казахстанской области от 04 апреля 2017 года № 70</w:t>
      </w:r>
    </w:p>
    <w:p>
      <w:pPr>
        <w:spacing w:after="0"/>
        <w:ind w:left="0"/>
        <w:jc w:val="left"/>
      </w:pPr>
      <w:r>
        <w:rPr>
          <w:rFonts w:ascii="Times New Roman"/>
          <w:b w:val="false"/>
          <w:i w:val="false"/>
          <w:color w:val="ff0000"/>
          <w:sz w:val="28"/>
        </w:rPr>
        <w:t xml:space="preserve">      Сноска. Утратило силу решением маслихата Тайыншинского района Северо-Казахстанской области от 04.04.2017 </w:t>
      </w:r>
      <w:r>
        <w:rPr>
          <w:rFonts w:ascii="Times New Roman"/>
          <w:b w:val="false"/>
          <w:i w:val="false"/>
          <w:color w:val="ff0000"/>
          <w:sz w:val="28"/>
        </w:rPr>
        <w:t>№ 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маслихат Тайыншинского района Северо-Казахстанской области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Тайыншинского района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от 17 января 2014 года № 158 (зарегистрировано в Реестре государственной регистрации нормативных правовых актов под № 2551 от 12 февраля 2014 года, опубликовано 21 февраля 2014 года в районной газете "Тайынша таңы", 21 февраля 2014 года в районной газете "Тайыншинские вести") следующие изменения:</w:t>
      </w:r>
      <w:r>
        <w:br/>
      </w:r>
      <w:r>
        <w:rPr>
          <w:rFonts w:ascii="Times New Roman"/>
          <w:b w:val="false"/>
          <w:i w:val="false"/>
          <w:color w:val="000000"/>
          <w:sz w:val="28"/>
        </w:rPr>
        <w:t>
      </w:t>
      </w:r>
      <w:r>
        <w:rPr>
          <w:rFonts w:ascii="Times New Roman"/>
          <w:b w:val="false"/>
          <w:i w:val="false"/>
          <w:color w:val="000000"/>
          <w:sz w:val="28"/>
        </w:rPr>
        <w:t xml:space="preserve">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утвержденных указанным решением: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подпункт 3)</w:t>
      </w:r>
      <w:r>
        <w:rPr>
          <w:rFonts w:ascii="Times New Roman"/>
          <w:b w:val="false"/>
          <w:i w:val="false"/>
          <w:color w:val="000000"/>
          <w:sz w:val="28"/>
        </w:rPr>
        <w:t xml:space="preserve"> пункта 2 указанных Правил изложить в новой редакции:</w:t>
      </w:r>
      <w:r>
        <w:br/>
      </w:r>
      <w:r>
        <w:rPr>
          <w:rFonts w:ascii="Times New Roman"/>
          <w:b w:val="false"/>
          <w:i w:val="false"/>
          <w:color w:val="000000"/>
          <w:sz w:val="28"/>
        </w:rPr>
        <w:t>
      </w:t>
      </w:r>
      <w:r>
        <w:rPr>
          <w:rFonts w:ascii="Times New Roman"/>
          <w:b w:val="false"/>
          <w:i w:val="false"/>
          <w:color w:val="000000"/>
          <w:sz w:val="28"/>
        </w:rPr>
        <w:t>"3) прожиточный минимум - необходимый минимальный денежный доход на одного человека в месяц, равный по величине стоимости минимальной потребительской корзины, рассчитываемой органами статистики в области;";</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пункт 6</w:t>
      </w:r>
      <w:r>
        <w:rPr>
          <w:rFonts w:ascii="Times New Roman"/>
          <w:b w:val="false"/>
          <w:i w:val="false"/>
          <w:color w:val="000000"/>
          <w:sz w:val="28"/>
        </w:rPr>
        <w:t xml:space="preserve"> указанных Правил изложить в новой редакции:</w:t>
      </w:r>
      <w:r>
        <w:br/>
      </w:r>
      <w:r>
        <w:rPr>
          <w:rFonts w:ascii="Times New Roman"/>
          <w:b w:val="false"/>
          <w:i w:val="false"/>
          <w:color w:val="000000"/>
          <w:sz w:val="28"/>
        </w:rPr>
        <w:t>
      </w:t>
      </w:r>
      <w:r>
        <w:rPr>
          <w:rFonts w:ascii="Times New Roman"/>
          <w:b w:val="false"/>
          <w:i w:val="false"/>
          <w:color w:val="000000"/>
          <w:sz w:val="28"/>
        </w:rPr>
        <w:t xml:space="preserve">"6. Перечень памятных дат и праздничных дней для оказания социальной помощи, а также кратность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r>
        <w:br/>
      </w:r>
      <w:r>
        <w:rPr>
          <w:rFonts w:ascii="Times New Roman"/>
          <w:b w:val="false"/>
          <w:i w:val="false"/>
          <w:color w:val="000000"/>
          <w:sz w:val="28"/>
        </w:rPr>
        <w:t>
      </w:t>
      </w:r>
      <w:r>
        <w:rPr>
          <w:rFonts w:ascii="Times New Roman"/>
          <w:b w:val="false"/>
          <w:i w:val="false"/>
          <w:color w:val="000000"/>
          <w:sz w:val="28"/>
        </w:rPr>
        <w:t xml:space="preserve">Социальная помощь к памятным датам и праздничным дням оказывается по одной из категорий,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 один раз в год.";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абзац</w:t>
      </w:r>
      <w:r>
        <w:rPr>
          <w:rFonts w:ascii="Times New Roman"/>
          <w:b w:val="false"/>
          <w:i w:val="false"/>
          <w:color w:val="000000"/>
          <w:sz w:val="28"/>
        </w:rPr>
        <w:t xml:space="preserve"> второй пункта 8 указанных Правил изложить в новой редакции:</w:t>
      </w:r>
      <w:r>
        <w:br/>
      </w:r>
      <w:r>
        <w:rPr>
          <w:rFonts w:ascii="Times New Roman"/>
          <w:b w:val="false"/>
          <w:i w:val="false"/>
          <w:color w:val="000000"/>
          <w:sz w:val="28"/>
        </w:rPr>
        <w:t>
      </w:t>
      </w:r>
      <w:r>
        <w:rPr>
          <w:rFonts w:ascii="Times New Roman"/>
          <w:b w:val="false"/>
          <w:i w:val="false"/>
          <w:color w:val="000000"/>
          <w:sz w:val="28"/>
        </w:rPr>
        <w:t>"Основаниями для отнесения граждан к категории нуждающихся при наступлении трудной жизненной ситуации являются:</w:t>
      </w:r>
      <w:r>
        <w:br/>
      </w:r>
      <w:r>
        <w:rPr>
          <w:rFonts w:ascii="Times New Roman"/>
          <w:b w:val="false"/>
          <w:i w:val="false"/>
          <w:color w:val="000000"/>
          <w:sz w:val="28"/>
        </w:rPr>
        <w:t>
      </w:t>
      </w:r>
      <w:r>
        <w:rPr>
          <w:rFonts w:ascii="Times New Roman"/>
          <w:b w:val="false"/>
          <w:i w:val="false"/>
          <w:color w:val="000000"/>
          <w:sz w:val="28"/>
        </w:rPr>
        <w:t>сиротство;</w:t>
      </w:r>
      <w:r>
        <w:br/>
      </w:r>
      <w:r>
        <w:rPr>
          <w:rFonts w:ascii="Times New Roman"/>
          <w:b w:val="false"/>
          <w:i w:val="false"/>
          <w:color w:val="000000"/>
          <w:sz w:val="28"/>
        </w:rPr>
        <w:t>
      </w:t>
      </w:r>
      <w:r>
        <w:rPr>
          <w:rFonts w:ascii="Times New Roman"/>
          <w:b w:val="false"/>
          <w:i w:val="false"/>
          <w:color w:val="000000"/>
          <w:sz w:val="28"/>
        </w:rPr>
        <w:t>отсутствие родительского попечения;</w:t>
      </w:r>
      <w:r>
        <w:br/>
      </w:r>
      <w:r>
        <w:rPr>
          <w:rFonts w:ascii="Times New Roman"/>
          <w:b w:val="false"/>
          <w:i w:val="false"/>
          <w:color w:val="000000"/>
          <w:sz w:val="28"/>
        </w:rPr>
        <w:t>
      </w:t>
      </w:r>
      <w:r>
        <w:rPr>
          <w:rFonts w:ascii="Times New Roman"/>
          <w:b w:val="false"/>
          <w:i w:val="false"/>
          <w:color w:val="000000"/>
          <w:sz w:val="28"/>
        </w:rPr>
        <w:t>безнадзорность несовершеннолетних, в том числе девиантное поведение;</w:t>
      </w:r>
      <w:r>
        <w:br/>
      </w:r>
      <w:r>
        <w:rPr>
          <w:rFonts w:ascii="Times New Roman"/>
          <w:b w:val="false"/>
          <w:i w:val="false"/>
          <w:color w:val="000000"/>
          <w:sz w:val="28"/>
        </w:rPr>
        <w:t>
      </w:t>
      </w:r>
      <w:r>
        <w:rPr>
          <w:rFonts w:ascii="Times New Roman"/>
          <w:b w:val="false"/>
          <w:i w:val="false"/>
          <w:color w:val="000000"/>
          <w:sz w:val="28"/>
        </w:rPr>
        <w:t>ограничение возможностей раннего психофизического развития детей от рождения до трех лет;</w:t>
      </w:r>
      <w:r>
        <w:br/>
      </w:r>
      <w:r>
        <w:rPr>
          <w:rFonts w:ascii="Times New Roman"/>
          <w:b w:val="false"/>
          <w:i w:val="false"/>
          <w:color w:val="000000"/>
          <w:sz w:val="28"/>
        </w:rPr>
        <w:t>
      </w:t>
      </w:r>
      <w:r>
        <w:rPr>
          <w:rFonts w:ascii="Times New Roman"/>
          <w:b w:val="false"/>
          <w:i w:val="false"/>
          <w:color w:val="000000"/>
          <w:sz w:val="28"/>
        </w:rPr>
        <w:t>стойкие нарушения функций организма, обусловленные физическими и (или) умственными возможностями;</w:t>
      </w:r>
      <w:r>
        <w:br/>
      </w:r>
      <w:r>
        <w:rPr>
          <w:rFonts w:ascii="Times New Roman"/>
          <w:b w:val="false"/>
          <w:i w:val="false"/>
          <w:color w:val="000000"/>
          <w:sz w:val="28"/>
        </w:rPr>
        <w:t>
      </w:t>
      </w:r>
      <w:r>
        <w:rPr>
          <w:rFonts w:ascii="Times New Roman"/>
          <w:b w:val="false"/>
          <w:i w:val="false"/>
          <w:color w:val="000000"/>
          <w:sz w:val="28"/>
        </w:rPr>
        <w:t>ограничение жизнедеятельности вследствие социально значимых заболеваний и заболеваний, представляющих опасность для окружающих;</w:t>
      </w:r>
      <w:r>
        <w:br/>
      </w:r>
      <w:r>
        <w:rPr>
          <w:rFonts w:ascii="Times New Roman"/>
          <w:b w:val="false"/>
          <w:i w:val="false"/>
          <w:color w:val="000000"/>
          <w:sz w:val="28"/>
        </w:rPr>
        <w:t>
      </w:t>
      </w:r>
      <w:r>
        <w:rPr>
          <w:rFonts w:ascii="Times New Roman"/>
          <w:b w:val="false"/>
          <w:i w:val="false"/>
          <w:color w:val="000000"/>
          <w:sz w:val="28"/>
        </w:rPr>
        <w:t xml:space="preserve">неспособность к самообслуживанию в связи с преклонным возрастом, </w:t>
      </w:r>
      <w:r>
        <w:rPr>
          <w:rFonts w:ascii="Times New Roman"/>
          <w:b w:val="false"/>
          <w:i w:val="false"/>
          <w:color w:val="000000"/>
          <w:sz w:val="28"/>
        </w:rPr>
        <w:t>вследствие перенесенной болезни и (или) инвалидности;</w:t>
      </w:r>
      <w:r>
        <w:br/>
      </w:r>
      <w:r>
        <w:rPr>
          <w:rFonts w:ascii="Times New Roman"/>
          <w:b w:val="false"/>
          <w:i w:val="false"/>
          <w:color w:val="000000"/>
          <w:sz w:val="28"/>
        </w:rPr>
        <w:t>
      </w:t>
      </w:r>
      <w:r>
        <w:rPr>
          <w:rFonts w:ascii="Times New Roman"/>
          <w:b w:val="false"/>
          <w:i w:val="false"/>
          <w:color w:val="000000"/>
          <w:sz w:val="28"/>
        </w:rPr>
        <w:t>жестокое обращение, приведшее к социальной дезадаптации и социальной депривации;</w:t>
      </w:r>
      <w:r>
        <w:br/>
      </w:r>
      <w:r>
        <w:rPr>
          <w:rFonts w:ascii="Times New Roman"/>
          <w:b w:val="false"/>
          <w:i w:val="false"/>
          <w:color w:val="000000"/>
          <w:sz w:val="28"/>
        </w:rPr>
        <w:t>
      </w:t>
      </w:r>
      <w:r>
        <w:rPr>
          <w:rFonts w:ascii="Times New Roman"/>
          <w:b w:val="false"/>
          <w:i w:val="false"/>
          <w:color w:val="000000"/>
          <w:sz w:val="28"/>
        </w:rPr>
        <w:t>бездомность (лица без определенного места жительства);</w:t>
      </w:r>
      <w:r>
        <w:br/>
      </w:r>
      <w:r>
        <w:rPr>
          <w:rFonts w:ascii="Times New Roman"/>
          <w:b w:val="false"/>
          <w:i w:val="false"/>
          <w:color w:val="000000"/>
          <w:sz w:val="28"/>
        </w:rPr>
        <w:t>
      </w:t>
      </w:r>
      <w:r>
        <w:rPr>
          <w:rFonts w:ascii="Times New Roman"/>
          <w:b w:val="false"/>
          <w:i w:val="false"/>
          <w:color w:val="000000"/>
          <w:sz w:val="28"/>
        </w:rPr>
        <w:t>освобождение из мест лишения свободы;</w:t>
      </w:r>
      <w:r>
        <w:br/>
      </w:r>
      <w:r>
        <w:rPr>
          <w:rFonts w:ascii="Times New Roman"/>
          <w:b w:val="false"/>
          <w:i w:val="false"/>
          <w:color w:val="000000"/>
          <w:sz w:val="28"/>
        </w:rPr>
        <w:t>
      </w:t>
      </w:r>
      <w:r>
        <w:rPr>
          <w:rFonts w:ascii="Times New Roman"/>
          <w:b w:val="false"/>
          <w:i w:val="false"/>
          <w:color w:val="000000"/>
          <w:sz w:val="28"/>
        </w:rPr>
        <w:t>нахождение на учете службы пробации уголовно-исполнительной инспекции;</w:t>
      </w:r>
      <w:r>
        <w:br/>
      </w:r>
      <w:r>
        <w:rPr>
          <w:rFonts w:ascii="Times New Roman"/>
          <w:b w:val="false"/>
          <w:i w:val="false"/>
          <w:color w:val="000000"/>
          <w:sz w:val="28"/>
        </w:rPr>
        <w:t>
      </w:t>
      </w:r>
      <w:r>
        <w:rPr>
          <w:rFonts w:ascii="Times New Roman"/>
          <w:b w:val="false"/>
          <w:i w:val="false"/>
          <w:color w:val="000000"/>
          <w:sz w:val="28"/>
        </w:rPr>
        <w:t>нуждаемость участников и инвалидов Великой Отечественной войны в зубопротезировании и санаторно-курортном лечении без учета доходов, один раз в год (с 01 января 2015 года);</w:t>
      </w:r>
      <w:r>
        <w:br/>
      </w:r>
      <w:r>
        <w:rPr>
          <w:rFonts w:ascii="Times New Roman"/>
          <w:b w:val="false"/>
          <w:i w:val="false"/>
          <w:color w:val="000000"/>
          <w:sz w:val="28"/>
        </w:rPr>
        <w:t>
      </w:t>
      </w:r>
      <w:r>
        <w:rPr>
          <w:rFonts w:ascii="Times New Roman"/>
          <w:b w:val="false"/>
          <w:i w:val="false"/>
          <w:color w:val="000000"/>
          <w:sz w:val="28"/>
        </w:rPr>
        <w:t xml:space="preserve">нуждаемость участников и инвалидов Великой Отечественной войны в ежемесячной компенсации за оплату коммунальных услуг и приобретение топлива без учета доходов, ежемесячно в размере двух месячных расчетных показателей (с 01 января 2015 года);".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1</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Приложение 2</w:t>
      </w:r>
      <w:r>
        <w:rPr>
          <w:rFonts w:ascii="Times New Roman"/>
          <w:b w:val="false"/>
          <w:i w:val="false"/>
          <w:color w:val="000000"/>
          <w:sz w:val="28"/>
        </w:rPr>
        <w:t xml:space="preserve"> к Правилам оказания социальной помощи, установления размеров и определения перечня отдельных категорий нуждающихся граждан в Тайыншинском районе Северо-Казахстанской области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 и распространяется на правоотношения, возникшие с 1 января 2014 года.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w:t>
            </w:r>
            <w:r>
              <w:br/>
            </w:r>
            <w:r>
              <w:rPr>
                <w:rFonts w:ascii="Times New Roman"/>
                <w:b w:val="false"/>
                <w:i/>
                <w:color w:val="000000"/>
                <w:sz w:val="20"/>
              </w:rPr>
              <w:t xml:space="preserve">XXXI сессии маслихата </w:t>
            </w:r>
            <w:r>
              <w:br/>
            </w:r>
            <w:r>
              <w:rPr>
                <w:rFonts w:ascii="Times New Roman"/>
                <w:b w:val="false"/>
                <w:i/>
                <w:color w:val="000000"/>
                <w:sz w:val="20"/>
              </w:rPr>
              <w:t>Тайыншинского района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Кошкарбаев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Секретарь маслихата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Тайыншинского района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Шарипов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Аким </w:t>
            </w:r>
            <w:r>
              <w:br/>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Султанов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05 ноября 2014 года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 маслихата Тайыншинского района Северо-Казахстанской области от 05 ноября 2014 года №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w:t>
            </w:r>
          </w:p>
        </w:tc>
      </w:tr>
    </w:tbl>
    <w:bookmarkStart w:name="z39" w:id="0"/>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а также кратность и размер социальной помощи</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183"/>
        <w:gridCol w:w="10"/>
        <w:gridCol w:w="718"/>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Категории получателей</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Кратность и размер социальной помощи в месячных расчетных показателях</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вывода войск с территории Афганистана – 15 февраля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ССР;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ССР за участие в обеспечении боевых действий.</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ставшие инвалидами вследствие ранения, контузии, увечья, полученные при защите бывшего Союза ССР,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и служащие Комитета государственной безопасности бывшего Союза ССР, временно находившихся на территории Афганистана и не входившие в состав ограниченного контингента советских войск.</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Международный женский день – 8 марта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Многодетные матери, награжденные подвесками "Алтын алка", "Күміс алка", орденами "Материнская Слава" I и II степени или ранее получивших звание "Мать-Героиня".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памяти аварии на Чернобыльской атомной электростанции – 26 апреля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защитника Отечества - 7 мая</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военнослужащих, погибших (умерших) при прохождении воинской в мирное время.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Победы – 9 мая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50</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Военнослужащие, а также лица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 в выслугу лет для назначения пенсии на льготных условиях, установленных для военнослужащих частей действующей армии.</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начальствующего и рядового состава органов внутренних дел и государственной безопасности бывшего Союза ССР,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ставшие инвалидами вследствие ранения, контузии или увечья, полученных при исполнении служебных обязанностей в этих батальонах, взводах, отрядах.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5</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Победы 9 мая 2015 года</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Участники и инвалиды Великой Отечественной войны.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100</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25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День памяти жертв политических репрессий – 31 мая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непосредственно подвергавшиеся политическим репрессиям на территории бывшего Союза ССР и в настоящее время являющихся гражданами Республики Казахстан.</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15 </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родительского попечения</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 3</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День Конституции Республики Казахстан – 30 августа</w:t>
            </w: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один раз в год,</w:t>
            </w:r>
            <w:r>
              <w:br/>
            </w:r>
            <w:r>
              <w:rPr>
                <w:rFonts w:ascii="Times New Roman"/>
                <w:b w:val="false"/>
                <w:i w:val="false"/>
                <w:color w:val="000000"/>
                <w:sz w:val="20"/>
              </w:rPr>
              <w:t xml:space="preserve">
10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 маслихата Тайыншинского района Северо-Казахстанской области от 05 ноября 2014 года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 оказания социальной помощи, установления размеров и определения перечня отдельных категорий нуждающихся граждан</w:t>
            </w:r>
          </w:p>
        </w:tc>
      </w:tr>
    </w:tbl>
    <w:bookmarkStart w:name="z84" w:id="1"/>
    <w:p>
      <w:pPr>
        <w:spacing w:after="0"/>
        <w:ind w:left="0"/>
        <w:jc w:val="left"/>
      </w:pPr>
      <w:r>
        <w:rPr>
          <w:rFonts w:ascii="Times New Roman"/>
          <w:b/>
          <w:i w:val="false"/>
          <w:color w:val="000000"/>
        </w:rPr>
        <w:t xml:space="preserve"> Перечень категорий получателей, предельные размеры социальной помощи, сроки обращения за социальной помощью при наступлении трудной жизненной ситуации вследствие стихийного бедствия или пожара</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
        <w:gridCol w:w="9707"/>
        <w:gridCol w:w="1052"/>
        <w:gridCol w:w="1329"/>
      </w:tblGrid>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п/п</w:t>
            </w: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Категории получателей социальной помощи при наступлении трудной жизненной ситуации вследствие стихийного бедствия или пожара </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Предельный размер социальной помощи при наступлении трудной жизненной ситуации вследствие стихийного бедствия или пожара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Срок обращения за социальной помощью при наступлении трудной жизненной ситуации вследствие стихийного бедствия или пожара </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Сироты; лица, оставшиеся без родительского попечения; безнадзорные несовершеннолетние, в том числе с девиантным поведением; дети с ограниченной возможностью раннего психофизического развития от рождения до трех лет; лица со стойким нарушением функций организма, обусловленные физическими и (или) умственными возможностями; лица с ограничением жизнедеятельности вследствие социально значимых заболеваний и заболеваний, представляющих опасность для окружающих; лица неспособные к самообслуживанию в связи с преклонным возрастом, вследствие перенесенной болезни и (или) инвалидности; лица пострадавшие от жестокого обращения, приведшего к социальной дезадаптации и социальной депривации; бездомные (лица без определенного места жительства); лица, освобожденные из мест лишения свободы; лица, находящиеся на учете службы пробации уголовно-исполнительной инспекции</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минимальных расчетных показателей, 1 раз в полугодие</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 течение </w:t>
            </w:r>
            <w:r>
              <w:br/>
            </w:r>
            <w:r>
              <w:rPr>
                <w:rFonts w:ascii="Times New Roman"/>
                <w:b w:val="false"/>
                <w:i w:val="false"/>
                <w:color w:val="000000"/>
                <w:sz w:val="20"/>
              </w:rPr>
              <w:t>
6 месяцев,</w:t>
            </w:r>
            <w:r>
              <w:br/>
            </w:r>
            <w:r>
              <w:rPr>
                <w:rFonts w:ascii="Times New Roman"/>
                <w:b w:val="false"/>
                <w:i w:val="false"/>
                <w:color w:val="000000"/>
                <w:sz w:val="20"/>
              </w:rPr>
              <w:t>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Граждане, пострадавшие вследствие стихийного бедствия или пожара, либо имеющие социально значимое заболевание (лица, со злокачественным новообразованием, больные тяжҰлой формой туберкулҰза, дети- инвалиды), проживающие на территории Тайыншинского района со среднедушевым доходом, не превышающим 1,5 прожиточного минимума.</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минимальных расчетных показателей</w:t>
            </w:r>
            <w:r>
              <w:br/>
            </w:r>
            <w:r>
              <w:rPr>
                <w:rFonts w:ascii="Times New Roman"/>
                <w:b w:val="false"/>
                <w:i w:val="false"/>
                <w:color w:val="000000"/>
                <w:sz w:val="20"/>
              </w:rPr>
              <w:t>
 </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 течение 6 месяцев,</w:t>
            </w:r>
            <w:r>
              <w:br/>
            </w:r>
            <w:r>
              <w:rPr>
                <w:rFonts w:ascii="Times New Roman"/>
                <w:b w:val="false"/>
                <w:i w:val="false"/>
                <w:color w:val="000000"/>
                <w:sz w:val="20"/>
              </w:rPr>
              <w:t>
со дня наступления трудной жизненной ситуации</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Малообеспеченные семьи, со среднедушевым доходом не превышающим установленного порога для обучения детей в органах высшего профессионального образования, на очной форме обучения расположенных на территории Республики Казахстан, имеющие совокупный доход семьи ниже прожиточного минимума</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минимальных расчетных показателей</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начало учебного года</w:t>
            </w:r>
            <w:r>
              <w:br/>
            </w:r>
            <w:r>
              <w:rPr>
                <w:rFonts w:ascii="Times New Roman"/>
                <w:b w:val="false"/>
                <w:i w:val="false"/>
                <w:color w:val="000000"/>
                <w:sz w:val="20"/>
              </w:rPr>
              <w:t>
</w:t>
            </w:r>
          </w:p>
        </w:tc>
      </w:tr>
      <w:tr>
        <w:trPr>
          <w:trHeight w:val="30" w:hRule="atLeast"/>
        </w:trPr>
        <w:tc>
          <w:tcPr>
            <w:tcW w:w="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Больные активной формой туберкулеза, без учета доходов</w:t>
            </w: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месячных расчетных показателей</w:t>
            </w: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раз в квартал</w:t>
            </w:r>
            <w:r>
              <w:br/>
            </w:r>
            <w:r>
              <w:rPr>
                <w:rFonts w:ascii="Times New Roman"/>
                <w:b w:val="false"/>
                <w:i w:val="false"/>
                <w:color w:val="000000"/>
                <w:sz w:val="20"/>
              </w:rPr>
              <w:t>
(с 1 января 2015 года)</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