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65b" w14:textId="4a6c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занятости и социальных программ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апреля 2014 года N 2/249. Зарегистрировано в Департаменте юстиции города Алматы 6 мая 2014 года за N 1040. Утратило силу постановлением акимата города Алматы от 8 июня 2017 года № 2/199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08.06.2017 № 2/199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занятости и социальных программ города Алматы" (далее - Управление).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 постановление акимата города Алматы "О некоторых вопросах коммунального государственного учреждения "Управление занятости и социальных программ города Алматы" от 29 декабря 2012 года № 4/1102.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занятости и социальных программ города Алматы в установленном законодательством порядке известить органы юстиции города Алматы о внесенных изменениях в учредительные документы.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Ю. Ильина.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города Алматы Е. 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Алматы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юридического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аппарата акима города Алматы А. Касымова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2/249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 города Алматы"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учреждение "Управление занятости и социальных программ города Алматы" (далее - Управление) является государственным органом Республики Казахстан, осуществляющим руководство в сфере занятости и социальной защиты населения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учреждение "Управление занятости и социальных программ города Алматы"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"Управление занятости и социальных программ города Алматы"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банках.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"Управление занятости и социальных программ города Алматы"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"Управление занятости и социальных программ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"Управление занятости и социальных программ города Алматы"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коммунального государственного учреждения "Управление занятости и социальных программ города Алматы"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коммунального государственного учреждения "Управление занятости и социальных программ города Алматы": 050010, город Алматы, Медеуский район, улица Д.А. Кунаева, дом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"Алматы қалалық Жұмыспен қамту және әлеуметтік бағдарламалар басқармасы"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"Управление занятости и социальных программ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коммунального государственного учреждения "Управление занятости и социальных программ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коммунального государственного учреждения "Управление занятости и социальных программ города Алматы"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Коммунальному государственному учреждению "Управление занятости и социальных программ города Алматы" запрещено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занятости и социальных программ города Алматы".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 города Алматы"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соответствии с Законами Республики Казахстан от 18 декабря 1992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граждан, пострадавших вследствие ядерных испытаний на Семипалатинском испытательном ядерном полигоне"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пособиях семьям, имеющим детей"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>, миссия коммунального государственного учреждения "Управление занятости и социальных программ города Алматы" заключается в содействии повышения уровня жизни малообеспеченных граждан и реализаций стратегии занятости населения, обеспечений реализации прав граждан в сфере социальной защиты и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услугах", коммунальное государственное учреждение "Управление занятости и социальных программ города Алматы" осуществляет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сфере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реализации основных направлений государственной политики в области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участие в реализации государственной политики по снижению уровня безработицы, сокращению масштабов бедности и повышению уровня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реализация государственной политики в области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координация взаимодействия организаций, учреждений, общественных объединений и благотворительных фондов с целью поддержки пенсионеров, безработных, инвалидов, многодетных семей с несовершеннолетними детьми и других групп нетрудоспособного населения, нуждающихся в социальной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международных связей и сотрудничество в области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2, статьи 10-3 Закона Республики Казахстан от 16 апреля 1997 года "О жилищных отношениях", статьями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11 июля 2002 года "О социальной и медико-педагогической коррекционной поддержке детей с ограниченными возможностями",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от 28 июня 2005 года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закупках", статьями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"Об утверждении стандартов оказания специальных социальных услуг в области социальной защиты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"О некоторых вопросах реабилитации инвалидов"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64 "Об утверждении первого этапа (2012-2013 годы) Плана мероприятий по обеспечению прав и улучшению качества жизни инвалидов в Республике Казахстан на 2012-2018 годы" коммунальное государственное учреждение "Управление занятости и социальных программ города Алматы"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проводить мониторинг и анализ Программы развития города Алматы на соответствующие годы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участие в реализации республиканской программы занятости населения и других специальных программах, обеспечивающих содействие занятости населения, с учетом гендерных критериев;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и внесение на рассмотрение местного исполнительного органа предложений по подготовке и проведению общественных работ в организациях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организация приема, учета и регистрации обращающихся граждан и безработных, оказание содействия в трудоустройстве, выдача направления для трудоустройства и обучения, оказание бесплатных услуг в профессиональной ориентации гражданам и безработным;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направление безработных, с их согласия, на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рассмотрение документов, представленных работодателями, принятие решений о выдаче (отказ в выдаче) им разрешений на привлечение иностранной рабочей силы по рекомендациям Комиссии по выдаче разрешений на привлечение иностранной рабочей силы в город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продление срока разрешений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переоформление разрешений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отзыв разрешений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выдача и продление разрешений иностранному работнику на трудоустройство;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выдача письменного согласия возврата гарантийного взноса, обеспечивающего гарантию возврата иностранного работника по истечению срока трудового договора в страну постоянного его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направление граждан из целевых групп населения для трудоустройства на организованные социальные рабочие места к работодателям в соответствии с заключенными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информирование обращающихся граждан и безработных о возможности получения работы, а работодателей о возможности обеспечения рабочей силой;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регистрация и постановка на учет безработных граждан не позднее 5 дней со дня их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формирование банка данных по рынку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обеспечение населения и работодателей полной и достоверной информацией о состоянии рынка труда, возможностях трудоустройства и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оказание работодателям, независимо от форм собственности, помощи в подборе необходимых им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направление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направление на профессиональную подготовку, переподготовку, повышение квалификации в соответствии с потребностями рынка труда занятых и лиц, занятых уходом за детьми в возрасте до семи лет, из числа малообеспеченных в случае их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отбора организаций для проведения оплачиваемых общественных работ, заключение договоров на проведение оплачиваемых общественных работ, профессиональное обучение безработных;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выдача безработному справки о регистрации в качестве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мониторинг, анализ и прогнозирование ситуации на рынке труда, спроса на рабочую силу. Разработка предложений к Программам занятости населения на базе среднесрочных планов социально-экономического развития города. Информирование населения, местные и центральные исполнительные органы о состоянии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взаимодействие с частными агентствами занятости, занимающимися трудовым посредничеством, и с работодателями по вопросам трудоустройства, создания рабочих мест и реализации программ по содействию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проведение информационно-разъяснительной работы среди населения и юридических лиц, рассмотрение в установленном порядке писем, жалоб и личных обращений граждан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обмен опытом работы с уполномоченными органами других регионов республики, проведение семинаров, консультаций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реализация основных направлений государственной политики в области адресной социальной помощи населению, назначение и выплата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внедрение единых информационных программ, систем обработки информации в области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рассмотрение и согласование параметров системы оплаты труда работников организаций, на услуги (товары, работы) которых вводится государственное регулирование тарифов (цен, ставок, сборов), в порядке, установленном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постановка на учет инвалидов и обеспечение их сурдо-тифлосредствами, специальными средствами передвижения, обязательными гигиеническими средствами, социальными услугами индивидуальных помощников и специалистов жестового языка и другими мерами социальной поддержки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организация работы по оказанию специальных социальных услуг одиноким инвалидам и престарелым, детям-инвалидам с психоневрологическими патологиями, детям-инвалидам с нарушениями опорно-двигательного аппарата, инвалидам старше восемнадцати лет с психоневрологическими заболеваниями, лицам, не имеющим определенного места жительства в организациях стационарного типа, полустационарного типа, временного пребывания, надомного обслуживания государственной и негосударственной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регистрация и учет граждан, пострадавших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назначение и выплата государственного пособия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назначение и выплата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назначения и выплата социальной помощи и оказания других видов дополнительной социальной помощи отдельным категориям нуждающихся граждан за счет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выдача удостоверений инвалидам Великой Отечественной войны, дающих право на льготы,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обеспечение пенсионеров, инвалидов, детей-инвалидов, участников и инвалидов Великой Отечественной войны путевками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обеспечение участников и инвалидов Великой Отечественной войны бесплатным проездом на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оформление документов одиноким инвалидам и престарелым, детям-инвалидам с психоневрологическими патологиями, инвалидам старше восемнадцати лет с психоневрологическими заболеваниями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оформление документов на социальное обслуживание на дому одиноки м, одиноко проживающим престарелым, инвалидам и детям-инвалидам, нуждающихся в постороннем уходе и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заполнение наградных листов на работающих вне трудового коллектива и неработающих многодетных матерей, представляемых к государственной награде "Алтын алқа", "Күміс алқа",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42) оформление документов многодетных матерей, достигших пенсионного возраста, имеющих инвалидность и из числа безработных, представленных к государственной награде "Алтын алқа", "Күміс алқа",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взаимодействие в работе с Советами ветеранов войны и труда, обществами инвалидов, общественными фондами, объединениями с целью предоставления льгот и гарантий лицам, нуждающимся в социальной поддержке, привлечение к этой работе общественных объединений и организаций города независимо от форм собственности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44) оказание методической помощи отделениям социальной помощи на дому одиноким, одиноко проживающим престарелым, инвалидам при аппаратах акимов районов города Алматы по вопросам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45) проведение государственных закупок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46) подготовка отчетов и информаций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47) рассмотрение, согласование и утверждение финансирования, подведомственных управлению коммунальных государственных учреждений, предприятий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48) осуществление реорганизации и ликвидации, подведомственных управлению коммунальных юридических лиц по согласованию с уполномоченным органом по государственному имуществу;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49) осуществление права владения и пользования коммунальным имуществом (без распоряжения), которое передано ему в оперативное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50) осуществление анализа и оценки эффективности деятельности, подведомственных Управлению коммунальных государственных предприятий, созданных с участием акимата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51) оценка эффективности деятельности сотрудников Управления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52) осуществление внутреннего контроля по направлениям деятельности государственного органа с целью повышения качества и производительности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53) осуществление иных функций, возложенных на Управление акимом города Алматы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54) участие в составе государственной приемочной комиссии по приемке в эксплуатацию объектов жилищно-гражданского и коммунального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55) назначение и выплата социальной помощи на возмещение затрат на обучение на дому детей с ограниченными возможностями из числа инвалидов по индивидуальному учебному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56) предоставление инвалидам транспортных услуг инватакси;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57) организация и проведение инвентаризации (паспортизации) объектов социальной инфраструктуры на предмет соблюдения доступной среды для инвалидов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"Управление занятости и социальных программ города Алматы" в установленном законодательством порядке имеет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 Республики Казахстан, а также от иных организаций документы, заключения, справочные и иные материалы, необходимые для осуществления функций, возложенных на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государственными органами и иными организациями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акиму города Алматы по вопросам, отнесенным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в установленном порядке проекты постановлений акимата, решений и распоряжений акима и решений маслихата города Алматы по вопросам, входящем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иные права и обязанности в соответствии с действующим законодательством.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"Управления занятости и социальных программ города Алматы"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коммунальным государственным учреждением "Управление занятости и социальных программ города Алматы"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занятости и социальных программ города Алматы"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Руководитель коммунального государственного учреждения "Управление занятости и социальных программ города Алматы" назначается на должность и освобождается от должности акимом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Руководитель коммунального государственного учреждения "Управление занятости и социальных программ города Алматы" имеет заместителей, которые назначаются на должности,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Полномочия руководителя коммунального государственного учреждения "Управление занятости и социальных программ города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круг полномочий заместителей руководителя Управления 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приказы, изданные в пределах предоставленной компетенции, обязательные для исполнения работниками Управления, проверяет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штатное расписание и смету расходов Управления в пределах установленного фонда оплаты труда и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представляет Управление во взаимоотношениях с государственными органами и иными организациями в порядке, установленном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вносит на рассмотрение акимата города Алматы предложения, проекты постановлений, решений и распоряжений по вопросам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ведет прием граждан, рассматривает их письменные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коммунального государственного учреждения "Управление занятости и социальных программ города Алматы"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определяет полномочия своих заместителей в соответствии с действующим законодательством.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города Алматы"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Коммунальное государственное учреждение "Управление занятости и социальных программ города Алматы" может иметь на праве оперативного управления обособленное имущество в случаях, предусмотренных законодательством.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занятости и социальных программ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коммунальным государственным учреждением "Управление занятости и социальных программ города Алматы"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Коммунальное государственное учреждение "Управление занятости и социальных программ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занятости и социальных программ города Алматы"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коммунального государственного учреждения "Управление занятости и социальных программ города Алматы" осуществляется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 (предприятий), находящихся</w:t>
      </w:r>
      <w:r>
        <w:br/>
      </w:r>
      <w:r>
        <w:rPr>
          <w:rFonts w:ascii="Times New Roman"/>
          <w:b/>
          <w:i w:val="false"/>
          <w:color w:val="000000"/>
        </w:rPr>
        <w:t>в ведении коммунального государственного учреждения "Управление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города Алматы"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"Алматинский городской Дом-интернат для детей-инвалидов с психоневрологическими патологиями" Управления занятости и социальных программ города Алматы;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"Алматинский городской Дом-интернат для инвалидов с психоневрологическими заболеваниями"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"Алматинский городской Дом ветеранов"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"Центр дневного пребывания для детей-инвалидов с психоневрологическими патологиями города Алматы"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"Дирекция Социального жилого дома для одиноких пенсионеров, инвалидов, одиноких супружеских и семейных пар пенсионного возраста"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"Алматинский городской Центр социальной адаптации для лиц, не имеющих определенного места жительства"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коммунальное казенное предприятие "Пансионат "Самал"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"Центр реабилитации и адаптации инвалидов Ауэзовского района города Алматы"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"Центр реабилитации и адаптации инвалидов Алмалинского района города Алматы" Управления занятости и социальных программ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"Центр занятости города Алматы" Управления занятости и социальных программ города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