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1cfe" w14:textId="f601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2013 года № 153 "О районном бюджете Костанайского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14 ноября 2014 года № 246. Зарегистрировано Департаментом юстиции Костанайской области 24 ноября 2014 года № 5171. Утратило силу в связи с истечением срока действия (письмо Аппарата маслихата Костанайского района Костанайской области от 16 января 2015 года № 02-30-3)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Аппарата маслихата Костанайского района Костанайской области от 16.01.2015 № 02-30-3).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27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Костанайского района на 2014-2016 годы" (зарегистрировано в Реестре государственной регистрации нормативных правовых актов за № 4384, опубликовано 10 января 2014 года в газете "Арна")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Костанайского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- 5975423,1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- 2530045,0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- 8555,0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- 23400,0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- 3413423,1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- 6087540,8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- 43685,6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- 58085,6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- 14400,0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-155803,3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- 155803,3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"5. Учесть, что в бюджете района на 2014 год предусмотрено поступление сумм бюджетных кредитов из республиканского бюджета на реализацию мер социальной поддержки специалистов в сумме 58085,6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17-8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"17-8. Учесть, что в бюджете района на 2014 год предусмотрены расходы на обслуживание долга местных исполнительных органов по выплате вознаграждений и иных платежей по займам из областного бюджета в сумме 22,3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Жумагулов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Досжанов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ноября 2014 года № 246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153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93"/>
        <w:gridCol w:w="553"/>
        <w:gridCol w:w="593"/>
        <w:gridCol w:w="7713"/>
        <w:gridCol w:w="19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25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5975423,1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2530045,0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984896,0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984896,0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664955,0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664955,0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813056,0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621257,0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164448,0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52157,0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25914,0</w:t>
            </w:r>
          </w:p>
        </w:tc>
      </w:tr>
      <w:tr>
        <w:trPr>
          <w:trHeight w:val="5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</w:tr>
      <w:tr>
        <w:trPr>
          <w:trHeight w:val="75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662,0</w:t>
            </w:r>
          </w:p>
        </w:tc>
      </w:tr>
      <w:tr>
        <w:trPr>
          <w:trHeight w:val="4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662,0</w:t>
            </w:r>
          </w:p>
        </w:tc>
      </w:tr>
      <w:tr>
        <w:trPr>
          <w:trHeight w:val="5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1473,0</w:t>
            </w:r>
          </w:p>
        </w:tc>
      </w:tr>
      <w:tr>
        <w:trPr>
          <w:trHeight w:val="5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3413423,1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3413423,1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3413423,1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53"/>
        <w:gridCol w:w="713"/>
        <w:gridCol w:w="673"/>
        <w:gridCol w:w="7453"/>
        <w:gridCol w:w="201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18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6087540,8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367978,1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335784,1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15126,0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103606,0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217052,1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215978,1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854,9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270,6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584,3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31339,1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31339,1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30485,4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853,7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14163,0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4690,0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2816547,3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242136,4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242136,4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133711,4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108425,0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2453701,9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2437215,9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2406972,9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30243,0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120709,0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120709,0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районного (городского) масштаба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40265,0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45034,0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184338,5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154496,7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154496,7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30493,0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27018,7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41278,0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29841,8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29041,8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21817,0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6372,8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1367585,6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877343,6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78463,6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78463,6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782186,0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67132,0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715054,0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317352,0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34575,0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17097,0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12258,0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282777,0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282777,0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172890,0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23075,0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58524,0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84152,0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81055,0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417659,2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75967,3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75967,3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75967,3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231870,0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60303,0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7090,9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36823,1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171567,0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171567,0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79949,0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61909,0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18040,0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14845,0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29872,9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18580,9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11618,9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114726,7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36382,7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13114,7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13114,7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23268,0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34261,0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34261,0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13891,0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13741,0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20370,0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661725,9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661725,9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71188,0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31188,0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590537,9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550837,9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96456,3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89270,3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63653,2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63653,2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18219,6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6015,6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7397,5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7397,5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12076,9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12076,9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12076,9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12076,9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43685,6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58085,6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58085,6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58085,6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58085,6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58085,6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13"/>
        <w:gridCol w:w="393"/>
        <w:gridCol w:w="493"/>
        <w:gridCol w:w="8213"/>
        <w:gridCol w:w="161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25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4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13"/>
        <w:gridCol w:w="433"/>
        <w:gridCol w:w="293"/>
        <w:gridCol w:w="7913"/>
        <w:gridCol w:w="195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25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-155803,3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155803,3</w:t>
            </w:r>
          </w:p>
        </w:tc>
      </w:tr>
    </w:tbl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ноября 2014 года № 246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153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 бюджетных программ по аппаратам</w:t>
      </w:r>
      <w:r>
        <w:br/>
      </w:r>
      <w:r>
        <w:rPr>
          <w:rFonts w:ascii="Times New Roman"/>
          <w:b/>
          <w:i w:val="false"/>
          <w:color w:val="000000"/>
        </w:rPr>
        <w:t>
акимов поселка, сел,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3298"/>
        <w:gridCol w:w="2672"/>
        <w:gridCol w:w="2752"/>
        <w:gridCol w:w="2671"/>
      </w:tblGrid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123022000 "Капитальные расходы государственного органа"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 "Организация бесплатного подвоза учащихся до школы и обратно в сельской местности"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215978,1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1074,0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16486,0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Борис-Романовка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3856,0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14960,0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3263,0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28435,0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1251,0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2644,0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2144,0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8045,1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987,0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9032,0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233"/>
        <w:gridCol w:w="2173"/>
        <w:gridCol w:w="2593"/>
        <w:gridCol w:w="3013"/>
      </w:tblGrid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 "Освещение улиц населенных пунктов"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 "Обеспечение санитарии населенных пунктов"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 "Благоустро-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йство и озеленение населенных пунктов"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23075,0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Борис-Романовка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233"/>
        <w:gridCol w:w="2353"/>
        <w:gridCol w:w="2213"/>
        <w:gridCol w:w="3013"/>
      </w:tblGrid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 "Обеспече-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функциони-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 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дорог в городах районного значения, поселках, селах, сельских округах"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123045000 "Капиталь-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 средний ремонт автомоби-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льных дорог улиц населенных пунктов"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 "Реализация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31188,0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63653,2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Борис-Романовка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19337,0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40656,0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5997,2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