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366b6" w14:textId="ef366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расчета ставки арендной платы при передаче районного коммунального имущества в имущественный наем (аренду)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Житикаринского района Костанайской области от 14 августа 2014 года № 313. Зарегистрировано Департаментом юстиции Костанайской области 26 августа 2014 года № 5045. Утратило силу постановлением акимата Житикаринского района Костанайской области от 8 мая 2015 года № 165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постановлением акимата Житикаринского района Костанайской области от 08.05.2015 № 165.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февраля 2014 года № 88 "Об утверждении Правил передачи государственного имущества в имущественный наем (аренду)" акимат Житикаринского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ставки арендной платы при передаче районного коммунального имущества в имущественный наем (аренду).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М. Утешов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августа 2014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313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расчета ставки арендной платы при передаче районного коммунального имущества в имущественный наем (аренду)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Базовая ставка арендной платы в год за использование 1 квадратного метра объектов государственного нежилого фонда, находящихся на балансе районных коммунальных юридических лиц, составляет 1 месячный расчетный показатель.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Ставка арендной платы в год за имущественный наем (аренду) объекта государственного нежилого фонда рассчитывается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 = Бс *К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*К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*S,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 - ставка арендной платы в год объекта государственного нежилого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Бс - базовая ставка;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>- коэффициент, учитывающий территориальную принадлежность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>- коэффициент, учитывающий тип строения;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S - площадь арендуемого помещения (квадратных метров).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Коэффициент, учитывающий территориальную принадлежность объекта: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84"/>
        <w:gridCol w:w="1216"/>
      </w:tblGrid>
      <w:tr>
        <w:trPr>
          <w:trHeight w:val="405" w:hRule="atLeast"/>
        </w:trPr>
        <w:tc>
          <w:tcPr>
            <w:tcW w:w="10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зона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10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Житикаринский район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Коэффициент, учитывающий тип строения: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53"/>
        <w:gridCol w:w="1353"/>
      </w:tblGrid>
      <w:tr>
        <w:trPr>
          <w:trHeight w:val="150" w:hRule="atLeast"/>
        </w:trPr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строения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</w:p>
        </w:tc>
      </w:tr>
      <w:tr>
        <w:trPr>
          <w:trHeight w:val="165" w:hRule="atLeast"/>
        </w:trPr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Отдельно стоящее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Пристроенное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65" w:hRule="atLeast"/>
        </w:trPr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Полуподвальное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0,85</w:t>
            </w:r>
          </w:p>
        </w:tc>
      </w:tr>
      <w:tr>
        <w:trPr>
          <w:trHeight w:val="150" w:hRule="atLeast"/>
        </w:trPr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Подвальное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0,70</w:t>
            </w:r>
          </w:p>
        </w:tc>
      </w:tr>
      <w:tr>
        <w:trPr>
          <w:trHeight w:val="165" w:hRule="atLeast"/>
        </w:trPr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Складское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0,60</w:t>
            </w:r>
          </w:p>
        </w:tc>
      </w:tr>
    </w:tbl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Ставка арендной платы за имущественный наем (аренду) оборудования, автотранспортных средств и других непотребляемых вещей определяется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Ао = АО + (БС*СР),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Ао - ставка арендной платы в год оборудования, автотранспортных средств и других непотребляемых вещей;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АО - сумма амортизационных отчислений, в соответствии с предельными нормами амортизации, определенными </w:t>
      </w:r>
      <w:r>
        <w:rPr>
          <w:rFonts w:ascii="Times New Roman"/>
          <w:b w:val="false"/>
          <w:i w:val="false"/>
          <w:color w:val="000000"/>
          <w:sz w:val="28"/>
        </w:rPr>
        <w:t>статьей 120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 (Налоговый кодекс)";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БС - балансовая стоимость;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 - ставка рефинансирования Национального банка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Ставка арендной платы за наем (аренду) объекта, используемого неполное рабочее время (по часам), рассчитывается по следующим формулам: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государственного нежилого фонда, находящегося на балансе районных коммунальных юридических лиц: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 = S* Бс *К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*К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/РВ*N,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 - ставка арендной платы объекта, используемого неполное рабочее время;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S - площадь (квадратных метров);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Бс - базовая ставка;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>- коэффициент, учитывающий территориальную принадлежность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>- коэффициент, учитывающий тип строения;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РВ - баланс рабочего времени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- количество часов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оборудования, автотранспортных средств и других непотребляемых вещей: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 = (Ао/РВ)*N,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 - ставка арендной платы в год оборудования, автотранспортных средств и других непотребляемых вещей;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Ао - арендная плата в год за наем (аренду) оборудования, автотранспортных средств и других непотребляемых вещей;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РВ - баланс рабочего времени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- количество часов в год.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