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2f17f" w14:textId="8c2f1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регламенте Аулиекольского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Аулиекольского района Костанайской области от 14 февраля 2014 года № 130. Зарегистрировано Департаментом юстиции Костанайской области 19 марта 2014 года № 4515. Утратило силу решением маслихата Аулиекольского района Костанайской области от 5 апреля 2017 года № 110</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маслихата Аулиекольского района Костанайской области от 05.04.2017 </w:t>
      </w:r>
      <w:r>
        <w:rPr>
          <w:rFonts w:ascii="Times New Roman"/>
          <w:b w:val="false"/>
          <w:i w:val="false"/>
          <w:color w:val="ff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пункта 3</w:t>
      </w:r>
      <w:r>
        <w:rPr>
          <w:rFonts w:ascii="Times New Roman"/>
          <w:b w:val="false"/>
          <w:i w:val="false"/>
          <w:color w:val="000000"/>
          <w:sz w:val="28"/>
        </w:rPr>
        <w:t xml:space="preserve"> статьи 8 Закона Республики Казахстан от 23 января 2001 года "О местном государственном управлении и самоуправлении в Республике Казахстан", Типовым регламентом маслихата,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№704 Аулиекольский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Аулиекольского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внеочередной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Войлошникова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Бондаренко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маслихата</w:t>
            </w:r>
            <w:r>
              <w:br/>
            </w:r>
            <w:r>
              <w:rPr>
                <w:rFonts w:ascii="Times New Roman"/>
                <w:b w:val="false"/>
                <w:i w:val="false"/>
                <w:color w:val="000000"/>
                <w:sz w:val="20"/>
              </w:rPr>
              <w:t>от 14 февраля 2014 года № 130</w:t>
            </w:r>
          </w:p>
        </w:tc>
      </w:tr>
    </w:tbl>
    <w:p>
      <w:pPr>
        <w:spacing w:after="0"/>
        <w:ind w:left="0"/>
        <w:jc w:val="left"/>
      </w:pPr>
      <w:r>
        <w:rPr>
          <w:rFonts w:ascii="Times New Roman"/>
          <w:b/>
          <w:i w:val="false"/>
          <w:color w:val="000000"/>
        </w:rPr>
        <w:t xml:space="preserve"> РЕГЛАМЕНТ</w:t>
      </w:r>
      <w:r>
        <w:br/>
      </w:r>
      <w:r>
        <w:rPr>
          <w:rFonts w:ascii="Times New Roman"/>
          <w:b/>
          <w:i w:val="false"/>
          <w:color w:val="000000"/>
        </w:rPr>
        <w:t>Аулиекольского районного маслихата</w:t>
      </w:r>
    </w:p>
    <w:bookmarkStart w:name="z5" w:id="0"/>
    <w:p>
      <w:pPr>
        <w:spacing w:after="0"/>
        <w:ind w:left="0"/>
        <w:jc w:val="left"/>
      </w:pPr>
      <w:r>
        <w:rPr>
          <w:rFonts w:ascii="Times New Roman"/>
          <w:b/>
          <w:i w:val="false"/>
          <w:color w:val="000000"/>
        </w:rPr>
        <w:t xml:space="preserve"> 1. Общие положения</w:t>
      </w:r>
    </w:p>
    <w:bookmarkEnd w:id="0"/>
    <w:p>
      <w:pPr>
        <w:spacing w:after="0"/>
        <w:ind w:left="0"/>
        <w:jc w:val="left"/>
      </w:pPr>
      <w:r>
        <w:rPr>
          <w:rFonts w:ascii="Times New Roman"/>
          <w:b w:val="false"/>
          <w:i w:val="false"/>
          <w:color w:val="000000"/>
          <w:sz w:val="28"/>
        </w:rPr>
        <w:t xml:space="preserve">      1. Настоящий регламент маслихата (далее – регламент) разработан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Типовым регламентом маслихата,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№704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Маслихат (местный представительный орган) – выборный орган,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Порядок проведения сессии маслихата 2.1. Сессии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w:t>
      </w:r>
      <w:r>
        <w:br/>
      </w:r>
      <w:r>
        <w:rPr>
          <w:rFonts w:ascii="Times New Roman"/>
          <w:b w:val="false"/>
          <w:i w:val="false"/>
          <w:color w:val="000000"/>
          <w:sz w:val="28"/>
        </w:rPr>
        <w:t>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w:t>
      </w:r>
      <w:r>
        <w:br/>
      </w:r>
      <w:r>
        <w:rPr>
          <w:rFonts w:ascii="Times New Roman"/>
          <w:b w:val="false"/>
          <w:i w:val="false"/>
          <w:color w:val="000000"/>
          <w:sz w:val="28"/>
        </w:rPr>
        <w:t>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 района, акимы сел,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Нормативные правовые решения маслихата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ff0000"/>
          <w:sz w:val="28"/>
        </w:rPr>
        <w:t xml:space="preserve">      Сноска. Пункт 20 - в редакции решения маслихата Аулиекольского района Костанайской области от 01.08.2014 </w:t>
      </w:r>
      <w:r>
        <w:rPr>
          <w:rFonts w:ascii="Times New Roman"/>
          <w:b w:val="false"/>
          <w:i w:val="false"/>
          <w:color w:val="ff0000"/>
          <w:sz w:val="28"/>
        </w:rPr>
        <w:t>№ 186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w:t>
      </w:r>
      <w:r>
        <w:br/>
      </w:r>
      <w:r>
        <w:rPr>
          <w:rFonts w:ascii="Times New Roman"/>
          <w:b w:val="false"/>
          <w:i w:val="false"/>
          <w:color w:val="000000"/>
          <w:sz w:val="28"/>
        </w:rPr>
        <w:t>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 районного маслихата.</w:t>
      </w:r>
      <w:r>
        <w:br/>
      </w:r>
      <w:r>
        <w:rPr>
          <w:rFonts w:ascii="Times New Roman"/>
          <w:b w:val="false"/>
          <w:i w:val="false"/>
          <w:color w:val="000000"/>
          <w:sz w:val="28"/>
        </w:rPr>
        <w:t>
</w:t>
      </w:r>
    </w:p>
    <w:bookmarkStart w:name="z35"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района.</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отчеты акимов района всех уровней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№19 "О проведении отчетов акимов перед маслихатами".</w:t>
      </w:r>
      <w:r>
        <w:br/>
      </w:r>
      <w:r>
        <w:rPr>
          <w:rFonts w:ascii="Times New Roman"/>
          <w:b w:val="false"/>
          <w:i w:val="false"/>
          <w:color w:val="000000"/>
          <w:sz w:val="28"/>
        </w:rPr>
        <w:t>
      Отчет акима района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 ревизионной комиссии области об исполнении бюджета района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сел, поселков,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40"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45" w:id="5"/>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 5.1. Председатель сессии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49"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r>
        <w:br/>
      </w:r>
      <w:r>
        <w:rPr>
          <w:rFonts w:ascii="Times New Roman"/>
          <w:b w:val="false"/>
          <w:i w:val="false"/>
          <w:color w:val="000000"/>
          <w:sz w:val="28"/>
        </w:rPr>
        <w:t>
</w:t>
      </w:r>
    </w:p>
    <w:bookmarkStart w:name="z52"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w:t>
      </w:r>
      <w:r>
        <w:br/>
      </w:r>
      <w:r>
        <w:rPr>
          <w:rFonts w:ascii="Times New Roman"/>
          <w:b w:val="false"/>
          <w:i w:val="false"/>
          <w:color w:val="000000"/>
          <w:sz w:val="28"/>
        </w:rPr>
        <w:t>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w:t>
      </w:r>
      <w:r>
        <w:br/>
      </w:r>
      <w:r>
        <w:rPr>
          <w:rFonts w:ascii="Times New Roman"/>
          <w:b w:val="false"/>
          <w:i w:val="false"/>
          <w:color w:val="000000"/>
          <w:sz w:val="28"/>
        </w:rPr>
        <w:t>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w:t>
      </w:r>
      <w:r>
        <w:br/>
      </w:r>
      <w:r>
        <w:rPr>
          <w:rFonts w:ascii="Times New Roman"/>
          <w:b w:val="false"/>
          <w:i w:val="false"/>
          <w:color w:val="000000"/>
          <w:sz w:val="28"/>
        </w:rPr>
        <w:t>
      Число кандидатур не ограничивается.</w:t>
      </w:r>
      <w:r>
        <w:br/>
      </w:r>
      <w:r>
        <w:rPr>
          <w:rFonts w:ascii="Times New Roman"/>
          <w:b w:val="false"/>
          <w:i w:val="false"/>
          <w:color w:val="000000"/>
          <w:sz w:val="28"/>
        </w:rPr>
        <w:t>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w:t>
      </w:r>
      <w:r>
        <w:br/>
      </w:r>
      <w:r>
        <w:rPr>
          <w:rFonts w:ascii="Times New Roman"/>
          <w:b w:val="false"/>
          <w:i w:val="false"/>
          <w:color w:val="000000"/>
          <w:sz w:val="28"/>
        </w:rPr>
        <w:t>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w:t>
      </w:r>
      <w:r>
        <w:br/>
      </w:r>
      <w:r>
        <w:rPr>
          <w:rFonts w:ascii="Times New Roman"/>
          <w:b w:val="false"/>
          <w:i w:val="false"/>
          <w:color w:val="000000"/>
          <w:sz w:val="28"/>
        </w:rPr>
        <w:t>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w:t>
      </w:r>
      <w:r>
        <w:br/>
      </w:r>
      <w:r>
        <w:rPr>
          <w:rFonts w:ascii="Times New Roman"/>
          <w:b w:val="false"/>
          <w:i w:val="false"/>
          <w:color w:val="000000"/>
          <w:sz w:val="28"/>
        </w:rPr>
        <w:t>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57"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w:t>
      </w:r>
      <w:r>
        <w:br/>
      </w: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r>
        <w:br/>
      </w:r>
      <w:r>
        <w:rPr>
          <w:rFonts w:ascii="Times New Roman"/>
          <w:b w:val="false"/>
          <w:i w:val="false"/>
          <w:color w:val="000000"/>
          <w:sz w:val="28"/>
        </w:rPr>
        <w:t xml:space="preserve">
      Бюллетени неустановленной формы при подсчете не учитываются. </w:t>
      </w:r>
      <w:r>
        <w:br/>
      </w:r>
      <w:r>
        <w:rPr>
          <w:rFonts w:ascii="Times New Roman"/>
          <w:b w:val="false"/>
          <w:i w:val="false"/>
          <w:color w:val="000000"/>
          <w:sz w:val="28"/>
        </w:rPr>
        <w:t>
</w:t>
      </w:r>
    </w:p>
    <w:bookmarkStart w:name="z60" w:id="9"/>
    <w:p>
      <w:pPr>
        <w:spacing w:after="0"/>
        <w:ind w:left="0"/>
        <w:jc w:val="left"/>
      </w:pPr>
      <w:r>
        <w:rPr>
          <w:rFonts w:ascii="Times New Roman"/>
          <w:b/>
          <w:i w:val="false"/>
          <w:color w:val="000000"/>
        </w:rPr>
        <w:t xml:space="preserve"> 5.5. Депутатские объединения в маслихатах</w:t>
      </w:r>
    </w:p>
    <w:bookmarkEnd w:id="9"/>
    <w:p>
      <w:pPr>
        <w:spacing w:after="0"/>
        <w:ind w:left="0"/>
        <w:jc w:val="left"/>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w:t>
      </w:r>
      <w:r>
        <w:br/>
      </w:r>
      <w:r>
        <w:rPr>
          <w:rFonts w:ascii="Times New Roman"/>
          <w:b w:val="false"/>
          <w:i w:val="false"/>
          <w:color w:val="000000"/>
          <w:sz w:val="28"/>
        </w:rPr>
        <w:t>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64"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70"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бюджета района.</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