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459f" w14:textId="aeb4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Рудненского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9 апреля 2014 года № 260. Зарегистрировано Департаментом юстиции Костанайской области 13 мая 2014 года № 4696. Утратило силу решением маслихата города Рудного Костанайской области от 2 мая 2017 года № 119</w:t>
      </w:r>
    </w:p>
    <w:p>
      <w:pPr>
        <w:spacing w:after="0"/>
        <w:ind w:left="0"/>
        <w:jc w:val="left"/>
      </w:pPr>
      <w:r>
        <w:rPr>
          <w:rFonts w:ascii="Times New Roman"/>
          <w:b w:val="false"/>
          <w:i w:val="false"/>
          <w:color w:val="ff0000"/>
          <w:sz w:val="28"/>
        </w:rPr>
        <w:t xml:space="preserve">      Сноска. Утратило силу решением маслихата города Рудного Костанайской области от 02.05.2017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Рудненского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br/>
            </w:r>
            <w:r>
              <w:rPr>
                <w:rFonts w:ascii="Times New Roman"/>
                <w:b w:val="false"/>
                <w:i/>
                <w:color w:val="000000"/>
                <w:sz w:val="20"/>
              </w:rPr>
              <w:t>сессии, секретарь</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9 апреля 2014 года № 260</w:t>
            </w:r>
          </w:p>
        </w:tc>
      </w:tr>
    </w:tbl>
    <w:p>
      <w:pPr>
        <w:spacing w:after="0"/>
        <w:ind w:left="0"/>
        <w:jc w:val="left"/>
      </w:pPr>
      <w:r>
        <w:rPr>
          <w:rFonts w:ascii="Times New Roman"/>
          <w:b/>
          <w:i w:val="false"/>
          <w:color w:val="000000"/>
        </w:rPr>
        <w:t xml:space="preserve"> Регламент Рудненского городского маслихата</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Рудненского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Рудненского городского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Порядок проведения сессии маслихата</w:t>
      </w:r>
    </w:p>
    <w:bookmarkEnd w:id="1"/>
    <w:bookmarkStart w:name="z10"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Рудного.</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акимы города, села, поселка,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допускается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города Рудного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Рудного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 Рудного.</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Рудного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бюджета города Рудного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города Рудного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территории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 утверждение маслихатом представленных акимом города Рудного отчетов об исполнении планов, экономических и социальных программ развития территории,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села, поселка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6"/>
    <w:bookmarkStart w:name="z55"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3"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от 15 марта 1999 года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3"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7"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настоящим регламентом,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8"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