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62af" w14:textId="94c6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"Постановка на учет и очередность, а также принятие местными исполнительными органами решения о предоставлении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2 сентября 2014 года № 440. Зарегистрировано Департаментом юстиции Костанайской области 1 октября 2014 года № 5105. Утратило силу постановлением акимата Костанайской области от 16 ноября 2015 года № 482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акимата Костанайской области от 16.11.2015 </w:t>
      </w:r>
      <w:r>
        <w:rPr>
          <w:rFonts w:ascii="Times New Roman"/>
          <w:b w:val="false"/>
          <w:i w:val="false"/>
          <w:color w:val="ff0000"/>
          <w:sz w:val="28"/>
        </w:rPr>
        <w:t>№ 482</w:t>
      </w:r>
      <w:r>
        <w:rPr>
          <w:rFonts w:ascii="Times New Roman"/>
          <w:b w:val="false"/>
          <w:i w:val="false"/>
          <w:color w:val="ff0000"/>
          <w:sz w:val="28"/>
        </w:rPr>
        <w:t xml:space="preserve"> (вводится в действие со дня его подписания).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акимат Костанайской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"Постановка на учет и очередность, а также принятие местными исполнительными органами решения о предоставлении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Аким области                               Н. Садуакасов</w:t>
      </w:r>
    </w:p>
    <w:bookmarkStart w:name="z4"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Костанайской области   </w:t>
      </w:r>
      <w:r>
        <w:br/>
      </w:r>
      <w:r>
        <w:rPr>
          <w:rFonts w:ascii="Times New Roman"/>
          <w:b w:val="false"/>
          <w:i w:val="false"/>
          <w:color w:val="000000"/>
          <w:sz w:val="28"/>
        </w:rPr>
        <w:t xml:space="preserve">
от 2 сентября 2014 года  </w:t>
      </w:r>
      <w:r>
        <w:br/>
      </w:r>
      <w:r>
        <w:rPr>
          <w:rFonts w:ascii="Times New Roman"/>
          <w:b w:val="false"/>
          <w:i w:val="false"/>
          <w:color w:val="000000"/>
          <w:sz w:val="28"/>
        </w:rPr>
        <w:t xml:space="preserve">
№ 440          </w:t>
      </w:r>
    </w:p>
    <w:bookmarkEnd w:id="2"/>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"Постановка</w:t>
      </w:r>
      <w:r>
        <w:br/>
      </w:r>
      <w:r>
        <w:rPr>
          <w:rFonts w:ascii="Times New Roman"/>
          <w:b/>
          <w:i w:val="false"/>
          <w:color w:val="000000"/>
        </w:rPr>
        <w:t>
на учет и очередность, а также принятие местными</w:t>
      </w:r>
      <w:r>
        <w:br/>
      </w:r>
      <w:r>
        <w:rPr>
          <w:rFonts w:ascii="Times New Roman"/>
          <w:b/>
          <w:i w:val="false"/>
          <w:color w:val="000000"/>
        </w:rPr>
        <w:t>
исполнительными органами решения о предоставлении жилища</w:t>
      </w:r>
      <w:r>
        <w:br/>
      </w:r>
      <w:r>
        <w:rPr>
          <w:rFonts w:ascii="Times New Roman"/>
          <w:b/>
          <w:i w:val="false"/>
          <w:color w:val="000000"/>
        </w:rPr>
        <w:t>
гражданам, нуждающимся в жилище из государственного жилищного</w:t>
      </w:r>
      <w:r>
        <w:br/>
      </w:r>
      <w:r>
        <w:rPr>
          <w:rFonts w:ascii="Times New Roman"/>
          <w:b/>
          <w:i w:val="false"/>
          <w:color w:val="000000"/>
        </w:rPr>
        <w:t>
фонда или жилище, арендованном местным исполнительным органом</w:t>
      </w:r>
      <w:r>
        <w:br/>
      </w:r>
      <w:r>
        <w:rPr>
          <w:rFonts w:ascii="Times New Roman"/>
          <w:b/>
          <w:i w:val="false"/>
          <w:color w:val="000000"/>
        </w:rPr>
        <w:t>
в частном жилищном фонде" (далее - регламент)</w:t>
      </w:r>
    </w:p>
    <w:bookmarkStart w:name="z5" w:id="3"/>
    <w:p>
      <w:pPr>
        <w:spacing w:after="0"/>
        <w:ind w:left="0"/>
        <w:jc w:val="left"/>
      </w:pPr>
      <w:r>
        <w:rPr>
          <w:rFonts w:ascii="Times New Roman"/>
          <w:b/>
          <w:i w:val="false"/>
          <w:color w:val="000000"/>
        </w:rPr>
        <w:t xml:space="preserve"> 
1. Общие положения</w:t>
      </w:r>
    </w:p>
    <w:bookmarkEnd w:id="3"/>
    <w:bookmarkStart w:name="z6" w:id="4"/>
    <w:p>
      <w:pPr>
        <w:spacing w:after="0"/>
        <w:ind w:left="0"/>
        <w:jc w:val="both"/>
      </w:pPr>
      <w:r>
        <w:rPr>
          <w:rFonts w:ascii="Times New Roman"/>
          <w:b w:val="false"/>
          <w:i w:val="false"/>
          <w:color w:val="000000"/>
          <w:sz w:val="28"/>
        </w:rPr>
        <w:t>
      1. Государственная услуга "Постановка на учет и очередность, а также принятие местными исполнительными органами решения о предоставлении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 (далее – государственная услуга) оказывается местными исполнительными органами районов и городов областного значения (отделами жилищно-коммунального хозяйства и автомобильных дорог районов и городов областного значения) (далее – услугодатель).</w:t>
      </w:r>
      <w:r>
        <w:br/>
      </w:r>
      <w:r>
        <w:rPr>
          <w:rFonts w:ascii="Times New Roman"/>
          <w:b w:val="false"/>
          <w:i w:val="false"/>
          <w:color w:val="000000"/>
          <w:sz w:val="28"/>
        </w:rPr>
        <w:t>
      Прием заявлений и выдача результатов оказания государственных услуг осуществляется через:</w:t>
      </w:r>
      <w:r>
        <w:br/>
      </w:r>
      <w:r>
        <w:rPr>
          <w:rFonts w:ascii="Times New Roman"/>
          <w:b w:val="false"/>
          <w:i w:val="false"/>
          <w:color w:val="000000"/>
          <w:sz w:val="28"/>
        </w:rPr>
        <w:t>
</w:t>
      </w:r>
      <w:r>
        <w:rPr>
          <w:rFonts w:ascii="Times New Roman"/>
          <w:b w:val="false"/>
          <w:i w:val="false"/>
          <w:color w:val="000000"/>
          <w:sz w:val="28"/>
        </w:rPr>
        <w:t>
      1) филиал Республиканского государственного предприятия "Центр обслуживания населения" по Костанайской области и его отделы городов и районов (далее – ЦОН);</w:t>
      </w:r>
      <w:r>
        <w:br/>
      </w:r>
      <w:r>
        <w:rPr>
          <w:rFonts w:ascii="Times New Roman"/>
          <w:b w:val="false"/>
          <w:i w:val="false"/>
          <w:color w:val="000000"/>
          <w:sz w:val="28"/>
        </w:rPr>
        <w:t>
</w:t>
      </w:r>
      <w:r>
        <w:rPr>
          <w:rFonts w:ascii="Times New Roman"/>
          <w:b w:val="false"/>
          <w:i w:val="false"/>
          <w:color w:val="000000"/>
          <w:sz w:val="28"/>
        </w:rPr>
        <w:t>
      2)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 уведомление о постановке на учет с указанием порядкового номера очереди (далее - Уведомление),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"Постановка на учет и очередность, а также принятие местными исполнительными органами решения о предоставлении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185 "Об утверждении стандартов государственных услуг в сфере жилищно-коммунального хозяйства" (далее – Стандарт).</w:t>
      </w:r>
      <w:r>
        <w:br/>
      </w:r>
      <w:r>
        <w:rPr>
          <w:rFonts w:ascii="Times New Roman"/>
          <w:b w:val="false"/>
          <w:i w:val="false"/>
          <w:color w:val="000000"/>
          <w:sz w:val="28"/>
        </w:rPr>
        <w:t>
      Форма предоставления результата оказания государственной услуги: электронная.</w:t>
      </w:r>
      <w:r>
        <w:br/>
      </w:r>
      <w:r>
        <w:rPr>
          <w:rFonts w:ascii="Times New Roman"/>
          <w:b w:val="false"/>
          <w:i w:val="false"/>
          <w:color w:val="000000"/>
          <w:sz w:val="28"/>
        </w:rPr>
        <w:t>
      В случае обращения услугополучателя за получением уведомления на бумажном носителе уведомление оформляется в электронном формате, распечатывается и заверяется печатью и подписью уполномоченного лица ЦОНа.</w:t>
      </w:r>
    </w:p>
    <w:bookmarkEnd w:id="4"/>
    <w:bookmarkStart w:name="z11" w:id="5"/>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5"/>
    <w:bookmarkStart w:name="z12" w:id="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наличие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с приложением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(далее - пакет документов) или электронный запрос удостоверенный электронной цифровой подписью (далее - ЭЦП) услугополучателя.</w:t>
      </w:r>
      <w:r>
        <w:br/>
      </w:r>
      <w:r>
        <w:rPr>
          <w:rFonts w:ascii="Times New Roman"/>
          <w:b w:val="false"/>
          <w:i w:val="false"/>
          <w:color w:val="000000"/>
          <w:sz w:val="28"/>
        </w:rPr>
        <w:t>
</w:t>
      </w:r>
      <w:r>
        <w:rPr>
          <w:rFonts w:ascii="Times New Roman"/>
          <w:b w:val="false"/>
          <w:i w:val="false"/>
          <w:color w:val="000000"/>
          <w:sz w:val="28"/>
        </w:rPr>
        <w:t>
      5. Процесс оказания государственной услуги содержит следующие процедуры (действия), с определенной длительностью, последовательностью их выполнения работниками структурного подразделения услугодателя:</w:t>
      </w:r>
      <w:r>
        <w:br/>
      </w:r>
      <w:r>
        <w:rPr>
          <w:rFonts w:ascii="Times New Roman"/>
          <w:b w:val="false"/>
          <w:i w:val="false"/>
          <w:color w:val="000000"/>
          <w:sz w:val="28"/>
        </w:rPr>
        <w:t>
</w:t>
      </w:r>
      <w:r>
        <w:rPr>
          <w:rFonts w:ascii="Times New Roman"/>
          <w:b w:val="false"/>
          <w:i w:val="false"/>
          <w:color w:val="000000"/>
          <w:sz w:val="28"/>
        </w:rPr>
        <w:t>
      1) сотрудник услугодателя принимает пакет документов, представленных ЦОНом либо через портал, осуществляет их регистрацию, либо делает отметку о получении пакета документов в реестре передаваемых документов (при обращении к услугополучателю через ЦОН) и передает руководителю услугодателя, 2 (два) календарных дня.</w:t>
      </w:r>
      <w:r>
        <w:br/>
      </w:r>
      <w:r>
        <w:rPr>
          <w:rFonts w:ascii="Times New Roman"/>
          <w:b w:val="false"/>
          <w:i w:val="false"/>
          <w:color w:val="000000"/>
          <w:sz w:val="28"/>
        </w:rPr>
        <w:t>
      Результат процедуры (действия) – регистрация пакета документов, отметка о получении документов в реестре передаваемых документов;</w:t>
      </w:r>
      <w:r>
        <w:br/>
      </w:r>
      <w:r>
        <w:rPr>
          <w:rFonts w:ascii="Times New Roman"/>
          <w:b w:val="false"/>
          <w:i w:val="false"/>
          <w:color w:val="000000"/>
          <w:sz w:val="28"/>
        </w:rPr>
        <w:t>
</w:t>
      </w:r>
      <w:r>
        <w:rPr>
          <w:rFonts w:ascii="Times New Roman"/>
          <w:b w:val="false"/>
          <w:i w:val="false"/>
          <w:color w:val="000000"/>
          <w:sz w:val="28"/>
        </w:rPr>
        <w:t>
      2) руководитель услугодателя рассматривает пакет документов, налагает соответствующую визу, 2 (два) календарных дня.</w:t>
      </w:r>
      <w:r>
        <w:br/>
      </w:r>
      <w:r>
        <w:rPr>
          <w:rFonts w:ascii="Times New Roman"/>
          <w:b w:val="false"/>
          <w:i w:val="false"/>
          <w:color w:val="000000"/>
          <w:sz w:val="28"/>
        </w:rPr>
        <w:t>
      Результат процедуры (действия) – соответствующая виза руководителя услугодателя;</w:t>
      </w:r>
      <w:r>
        <w:br/>
      </w:r>
      <w:r>
        <w:rPr>
          <w:rFonts w:ascii="Times New Roman"/>
          <w:b w:val="false"/>
          <w:i w:val="false"/>
          <w:color w:val="000000"/>
          <w:sz w:val="28"/>
        </w:rPr>
        <w:t>
</w:t>
      </w:r>
      <w:r>
        <w:rPr>
          <w:rFonts w:ascii="Times New Roman"/>
          <w:b w:val="false"/>
          <w:i w:val="false"/>
          <w:color w:val="000000"/>
          <w:sz w:val="28"/>
        </w:rPr>
        <w:t>
      3) сотрудник услугодателя подготавливает проект уведомления, либо мотивированный ответ об отказе в оказании государственной услуги, 22 (двадцать два) календарных дня (в случае поступления пакета документов через ЦОН), 23 (двадцать три) календарных дня (в случае поступления пакета документов через портал).</w:t>
      </w:r>
      <w:r>
        <w:br/>
      </w:r>
      <w:r>
        <w:rPr>
          <w:rFonts w:ascii="Times New Roman"/>
          <w:b w:val="false"/>
          <w:i w:val="false"/>
          <w:color w:val="000000"/>
          <w:sz w:val="28"/>
        </w:rPr>
        <w:t>
      Результат процедуры (действия) – проект уведомления либо мотивированный ответ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4) руководитель услугодателя подписывает уведомление, либо мотивированный ответ об отказе в оказании государственной услуги, 2 (два) календарных дня.</w:t>
      </w:r>
      <w:r>
        <w:br/>
      </w:r>
      <w:r>
        <w:rPr>
          <w:rFonts w:ascii="Times New Roman"/>
          <w:b w:val="false"/>
          <w:i w:val="false"/>
          <w:color w:val="000000"/>
          <w:sz w:val="28"/>
        </w:rPr>
        <w:t>
      Результат процедуры (действия) – подписанное уведомление либо мотивированный ответ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5) сотрудник услугодателя передает уведомление либо мотивированный ответ об отказе в оказании государственной услуги в ЦОН, либо направляет в "личный кабинет" услугополучателя в форме электронного документа подписанного ЭЦП уполномоченного лица услугодателя, 1 (один) календарный день.</w:t>
      </w:r>
      <w:r>
        <w:br/>
      </w:r>
      <w:r>
        <w:rPr>
          <w:rFonts w:ascii="Times New Roman"/>
          <w:b w:val="false"/>
          <w:i w:val="false"/>
          <w:color w:val="000000"/>
          <w:sz w:val="28"/>
        </w:rPr>
        <w:t>
      Результат процедуры (действия) – передача уведомления либо мотивированного ответа об отказе в оказании государственной услуги в ЦОН, либо направление в "личный кабинет" услугополучателя.</w:t>
      </w:r>
    </w:p>
    <w:bookmarkEnd w:id="6"/>
    <w:bookmarkStart w:name="z19" w:id="7"/>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 в процессе оказания</w:t>
      </w:r>
      <w:r>
        <w:br/>
      </w:r>
      <w:r>
        <w:rPr>
          <w:rFonts w:ascii="Times New Roman"/>
          <w:b/>
          <w:i w:val="false"/>
          <w:color w:val="000000"/>
        </w:rPr>
        <w:t>
государственной услуги</w:t>
      </w:r>
    </w:p>
    <w:bookmarkEnd w:id="7"/>
    <w:bookmarkStart w:name="z20" w:id="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сотрудник услугодателя;</w:t>
      </w:r>
      <w:r>
        <w:br/>
      </w:r>
      <w:r>
        <w:rPr>
          <w:rFonts w:ascii="Times New Roman"/>
          <w:b w:val="false"/>
          <w:i w:val="false"/>
          <w:color w:val="000000"/>
          <w:sz w:val="28"/>
        </w:rPr>
        <w:t>
</w:t>
      </w:r>
      <w:r>
        <w:rPr>
          <w:rFonts w:ascii="Times New Roman"/>
          <w:b w:val="false"/>
          <w:i w:val="false"/>
          <w:color w:val="000000"/>
          <w:sz w:val="28"/>
        </w:rPr>
        <w:t>
      2) руководитель услугодателя.</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w:t>
      </w:r>
      <w:r>
        <w:rPr>
          <w:rFonts w:ascii="Times New Roman"/>
          <w:b w:val="false"/>
          <w:i w:val="false"/>
          <w:color w:val="000000"/>
          <w:sz w:val="28"/>
        </w:rPr>
        <w:t>
      1) сотрудник услугодателя после осуществления приема пакета документов, их регистрации передает пакет документов руководителю услугодателя для наложения визы, 1 (один) календарный день;</w:t>
      </w:r>
      <w:r>
        <w:br/>
      </w:r>
      <w:r>
        <w:rPr>
          <w:rFonts w:ascii="Times New Roman"/>
          <w:b w:val="false"/>
          <w:i w:val="false"/>
          <w:color w:val="000000"/>
          <w:sz w:val="28"/>
        </w:rPr>
        <w:t>
</w:t>
      </w:r>
      <w:r>
        <w:rPr>
          <w:rFonts w:ascii="Times New Roman"/>
          <w:b w:val="false"/>
          <w:i w:val="false"/>
          <w:color w:val="000000"/>
          <w:sz w:val="28"/>
        </w:rPr>
        <w:t>
      2) руководитель услугодателя рассмотрев пакет документов, передает их с соответствующей визой сотруднику услугодателя, 2 (два) календарных дня;</w:t>
      </w:r>
      <w:r>
        <w:br/>
      </w:r>
      <w:r>
        <w:rPr>
          <w:rFonts w:ascii="Times New Roman"/>
          <w:b w:val="false"/>
          <w:i w:val="false"/>
          <w:color w:val="000000"/>
          <w:sz w:val="28"/>
        </w:rPr>
        <w:t>
</w:t>
      </w:r>
      <w:r>
        <w:rPr>
          <w:rFonts w:ascii="Times New Roman"/>
          <w:b w:val="false"/>
          <w:i w:val="false"/>
          <w:color w:val="000000"/>
          <w:sz w:val="28"/>
        </w:rPr>
        <w:t>
      3) сотрудник услугодателя подготовив проект результата оказания государственной услуги, направляет его руководителю услугодателя для подписания, 22 (двадцать два) календарных дней (в случае поступления пакета документов через ЦОН), 23 (двадцать три) календарных дней (в случае поступления пакета документов через портал).</w:t>
      </w:r>
      <w:r>
        <w:br/>
      </w:r>
      <w:r>
        <w:rPr>
          <w:rFonts w:ascii="Times New Roman"/>
          <w:b w:val="false"/>
          <w:i w:val="false"/>
          <w:color w:val="000000"/>
          <w:sz w:val="28"/>
        </w:rPr>
        <w:t>
</w:t>
      </w:r>
      <w:r>
        <w:rPr>
          <w:rFonts w:ascii="Times New Roman"/>
          <w:b w:val="false"/>
          <w:i w:val="false"/>
          <w:color w:val="000000"/>
          <w:sz w:val="28"/>
        </w:rPr>
        <w:t>
      4) руководитель услугодателя подписав уведомление, либо мотивированный ответ об отказе в оказании государственной услуги передает его сотруднику услугодателя, 2 (два) календарных дня.</w:t>
      </w:r>
      <w:r>
        <w:br/>
      </w:r>
      <w:r>
        <w:rPr>
          <w:rFonts w:ascii="Times New Roman"/>
          <w:b w:val="false"/>
          <w:i w:val="false"/>
          <w:color w:val="000000"/>
          <w:sz w:val="28"/>
        </w:rPr>
        <w:t>
</w:t>
      </w:r>
      <w:r>
        <w:rPr>
          <w:rFonts w:ascii="Times New Roman"/>
          <w:b w:val="false"/>
          <w:i w:val="false"/>
          <w:color w:val="000000"/>
          <w:sz w:val="28"/>
        </w:rPr>
        <w:t>
      5) сотрудник услугодателя передает уведомление либо мотивированный ответ об отказе в оказании государственной услуги в ЦОН, либо направляет в "личный кабинет" услугополучателя в форме электронного документа подписанного ЭЦП уполномоченного лица услугодателя, 1 (один) календарный день.</w:t>
      </w:r>
      <w:r>
        <w:br/>
      </w:r>
      <w:r>
        <w:rPr>
          <w:rFonts w:ascii="Times New Roman"/>
          <w:b w:val="false"/>
          <w:i w:val="false"/>
          <w:color w:val="000000"/>
          <w:sz w:val="28"/>
        </w:rPr>
        <w:t>
      Блок-схема прохождения каждого действия (процедуры) с указанием длительности каждой процедуры (действия) указана в </w:t>
      </w:r>
      <w:r>
        <w:rPr>
          <w:rFonts w:ascii="Times New Roman"/>
          <w:b w:val="false"/>
          <w:i w:val="false"/>
          <w:color w:val="000000"/>
          <w:sz w:val="28"/>
        </w:rPr>
        <w:t>приложении 1</w:t>
      </w:r>
      <w:r>
        <w:rPr>
          <w:rFonts w:ascii="Times New Roman"/>
          <w:b w:val="false"/>
          <w:i w:val="false"/>
          <w:color w:val="000000"/>
          <w:sz w:val="28"/>
        </w:rPr>
        <w:t xml:space="preserve"> к Регламенту.</w:t>
      </w:r>
    </w:p>
    <w:bookmarkEnd w:id="8"/>
    <w:bookmarkStart w:name="z29" w:id="9"/>
    <w:p>
      <w:pPr>
        <w:spacing w:after="0"/>
        <w:ind w:left="0"/>
        <w:jc w:val="left"/>
      </w:pPr>
      <w:r>
        <w:rPr>
          <w:rFonts w:ascii="Times New Roman"/>
          <w:b/>
          <w:i w:val="false"/>
          <w:color w:val="000000"/>
        </w:rPr>
        <w:t xml:space="preserve"> 
4. Описание порядка взаимодействия с центром</w:t>
      </w:r>
      <w:r>
        <w:br/>
      </w:r>
      <w:r>
        <w:rPr>
          <w:rFonts w:ascii="Times New Roman"/>
          <w:b/>
          <w:i w:val="false"/>
          <w:color w:val="000000"/>
        </w:rPr>
        <w:t>
обслуживания населения и (или) иными услугодателями,</w:t>
      </w:r>
      <w:r>
        <w:br/>
      </w:r>
      <w:r>
        <w:rPr>
          <w:rFonts w:ascii="Times New Roman"/>
          <w:b/>
          <w:i w:val="false"/>
          <w:color w:val="000000"/>
        </w:rPr>
        <w:t>
а также порядка использования информационных систем</w:t>
      </w:r>
      <w:r>
        <w:br/>
      </w:r>
      <w:r>
        <w:rPr>
          <w:rFonts w:ascii="Times New Roman"/>
          <w:b/>
          <w:i w:val="false"/>
          <w:color w:val="000000"/>
        </w:rPr>
        <w:t>
в процессе оказания государственной услуги</w:t>
      </w:r>
    </w:p>
    <w:bookmarkEnd w:id="9"/>
    <w:bookmarkStart w:name="z30" w:id="10"/>
    <w:p>
      <w:pPr>
        <w:spacing w:after="0"/>
        <w:ind w:left="0"/>
        <w:jc w:val="both"/>
      </w:pPr>
      <w:r>
        <w:rPr>
          <w:rFonts w:ascii="Times New Roman"/>
          <w:b w:val="false"/>
          <w:i w:val="false"/>
          <w:color w:val="000000"/>
          <w:sz w:val="28"/>
        </w:rPr>
        <w:t>
      8. Описание порядка обращения в ЦОН, длительность обработки запроса услугодателя:</w:t>
      </w:r>
      <w:r>
        <w:br/>
      </w:r>
      <w:r>
        <w:rPr>
          <w:rFonts w:ascii="Times New Roman"/>
          <w:b w:val="false"/>
          <w:i w:val="false"/>
          <w:color w:val="000000"/>
          <w:sz w:val="28"/>
        </w:rPr>
        <w:t>
</w:t>
      </w:r>
      <w:r>
        <w:rPr>
          <w:rFonts w:ascii="Times New Roman"/>
          <w:b w:val="false"/>
          <w:i w:val="false"/>
          <w:color w:val="000000"/>
          <w:sz w:val="28"/>
        </w:rPr>
        <w:t>
      1) услугополучатель для получения государственной услуги обращается в ЦОН;</w:t>
      </w:r>
      <w:r>
        <w:br/>
      </w:r>
      <w:r>
        <w:rPr>
          <w:rFonts w:ascii="Times New Roman"/>
          <w:b w:val="false"/>
          <w:i w:val="false"/>
          <w:color w:val="000000"/>
          <w:sz w:val="28"/>
        </w:rPr>
        <w:t>
</w:t>
      </w:r>
      <w:r>
        <w:rPr>
          <w:rFonts w:ascii="Times New Roman"/>
          <w:b w:val="false"/>
          <w:i w:val="false"/>
          <w:color w:val="000000"/>
          <w:sz w:val="28"/>
        </w:rPr>
        <w:t>
      2) работник ЦОНа проверяет правильность заполнения заявлений и полноту пакета представленных документов, 15 минут;</w:t>
      </w:r>
      <w:r>
        <w:br/>
      </w:r>
      <w:r>
        <w:rPr>
          <w:rFonts w:ascii="Times New Roman"/>
          <w:b w:val="false"/>
          <w:i w:val="false"/>
          <w:color w:val="000000"/>
          <w:sz w:val="28"/>
        </w:rPr>
        <w:t>
      в случае представления услугополучателем неполного пакета документов, работник ЦОНа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5 минут;</w:t>
      </w:r>
      <w:r>
        <w:br/>
      </w:r>
      <w:r>
        <w:rPr>
          <w:rFonts w:ascii="Times New Roman"/>
          <w:b w:val="false"/>
          <w:i w:val="false"/>
          <w:color w:val="000000"/>
          <w:sz w:val="28"/>
        </w:rPr>
        <w:t>
</w:t>
      </w:r>
      <w:r>
        <w:rPr>
          <w:rFonts w:ascii="Times New Roman"/>
          <w:b w:val="false"/>
          <w:i w:val="false"/>
          <w:color w:val="000000"/>
          <w:sz w:val="28"/>
        </w:rPr>
        <w:t>
      3) в случае соблюдения правильности и полноты заполнения заявлений и предоставления полного пакета документов:</w:t>
      </w:r>
      <w:r>
        <w:br/>
      </w:r>
      <w:r>
        <w:rPr>
          <w:rFonts w:ascii="Times New Roman"/>
          <w:b w:val="false"/>
          <w:i w:val="false"/>
          <w:color w:val="000000"/>
          <w:sz w:val="28"/>
        </w:rPr>
        <w:t>
      работник ЦОНа регистрирует заявление в информационной системе "Интегрированная информационная система для Центров обслуживания населения" (далее – ИИС ЦОН) и выдает услугополучателю расписку о приеме соответствующих документов с указанием:</w:t>
      </w:r>
      <w:r>
        <w:br/>
      </w:r>
      <w:r>
        <w:rPr>
          <w:rFonts w:ascii="Times New Roman"/>
          <w:b w:val="false"/>
          <w:i w:val="false"/>
          <w:color w:val="000000"/>
          <w:sz w:val="28"/>
        </w:rPr>
        <w:t>
      номера и даты приема документа;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получения государственной услуги и места выдачи документов;</w:t>
      </w:r>
      <w:r>
        <w:br/>
      </w:r>
      <w:r>
        <w:rPr>
          <w:rFonts w:ascii="Times New Roman"/>
          <w:b w:val="false"/>
          <w:i w:val="false"/>
          <w:color w:val="000000"/>
          <w:sz w:val="28"/>
        </w:rPr>
        <w:t>
      фамилии, имени, отчества ответственного лица, принявшего документы;</w:t>
      </w:r>
      <w:r>
        <w:br/>
      </w:r>
      <w:r>
        <w:rPr>
          <w:rFonts w:ascii="Times New Roman"/>
          <w:b w:val="false"/>
          <w:i w:val="false"/>
          <w:color w:val="000000"/>
          <w:sz w:val="28"/>
        </w:rPr>
        <w:t>
      фамилии, имени, отчества, контактных данных услугополучателя.</w:t>
      </w:r>
      <w:r>
        <w:br/>
      </w:r>
      <w:r>
        <w:rPr>
          <w:rFonts w:ascii="Times New Roman"/>
          <w:b w:val="false"/>
          <w:i w:val="false"/>
          <w:color w:val="000000"/>
          <w:sz w:val="28"/>
        </w:rPr>
        <w:t>
</w:t>
      </w:r>
      <w:r>
        <w:rPr>
          <w:rFonts w:ascii="Times New Roman"/>
          <w:b w:val="false"/>
          <w:i w:val="false"/>
          <w:color w:val="000000"/>
          <w:sz w:val="28"/>
        </w:rPr>
        <w:t>
      4) работник ЦОНа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в течении 5 минут;</w:t>
      </w:r>
      <w:r>
        <w:br/>
      </w:r>
      <w:r>
        <w:rPr>
          <w:rFonts w:ascii="Times New Roman"/>
          <w:b w:val="false"/>
          <w:i w:val="false"/>
          <w:color w:val="000000"/>
          <w:sz w:val="28"/>
        </w:rPr>
        <w:t>
</w:t>
      </w:r>
      <w:r>
        <w:rPr>
          <w:rFonts w:ascii="Times New Roman"/>
          <w:b w:val="false"/>
          <w:i w:val="false"/>
          <w:color w:val="000000"/>
          <w:sz w:val="28"/>
        </w:rPr>
        <w:t>
      5) работник ЦОНа подготавливает пакет документов и направляет его услугодателю через курьерскую или иную уполномоченную на это связь, в течение 1 дня;</w:t>
      </w:r>
      <w:r>
        <w:br/>
      </w:r>
      <w:r>
        <w:rPr>
          <w:rFonts w:ascii="Times New Roman"/>
          <w:b w:val="false"/>
          <w:i w:val="false"/>
          <w:color w:val="000000"/>
          <w:sz w:val="28"/>
        </w:rPr>
        <w:t>
</w:t>
      </w:r>
      <w:r>
        <w:rPr>
          <w:rFonts w:ascii="Times New Roman"/>
          <w:b w:val="false"/>
          <w:i w:val="false"/>
          <w:color w:val="000000"/>
          <w:sz w:val="28"/>
        </w:rPr>
        <w:t>
      6) работник ЦОНа в срок, указанный в расписке о приеме соответствующих документов, выдает результат оказания государственной услуги услугополучателю, 15 минут.</w:t>
      </w:r>
      <w:r>
        <w:br/>
      </w:r>
      <w:r>
        <w:rPr>
          <w:rFonts w:ascii="Times New Roman"/>
          <w:b w:val="false"/>
          <w:i w:val="false"/>
          <w:color w:val="000000"/>
          <w:sz w:val="28"/>
        </w:rPr>
        <w:t>
      Диаграмма функционального взаимодействия информационных систем задействованных в оказании государственной услуги,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w:t>
      </w: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r>
        <w:br/>
      </w:r>
      <w:r>
        <w:rPr>
          <w:rFonts w:ascii="Times New Roman"/>
          <w:b w:val="false"/>
          <w:i w:val="false"/>
          <w:color w:val="000000"/>
          <w:sz w:val="28"/>
        </w:rPr>
        <w:t>
</w:t>
      </w: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пакета документов;</w:t>
      </w:r>
      <w:r>
        <w:br/>
      </w:r>
      <w:r>
        <w:rPr>
          <w:rFonts w:ascii="Times New Roman"/>
          <w:b w:val="false"/>
          <w:i w:val="false"/>
          <w:color w:val="000000"/>
          <w:sz w:val="28"/>
        </w:rPr>
        <w:t>
</w:t>
      </w: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w:t>
      </w:r>
      <w:r>
        <w:rPr>
          <w:rFonts w:ascii="Times New Roman"/>
          <w:b w:val="false"/>
          <w:i w:val="false"/>
          <w:color w:val="000000"/>
          <w:sz w:val="28"/>
        </w:rPr>
        <w:t>
      4) обработка (проверка, регистрация) электронного запроса услугодателем;</w:t>
      </w:r>
      <w:r>
        <w:br/>
      </w:r>
      <w:r>
        <w:rPr>
          <w:rFonts w:ascii="Times New Roman"/>
          <w:b w:val="false"/>
          <w:i w:val="false"/>
          <w:color w:val="000000"/>
          <w:sz w:val="28"/>
        </w:rPr>
        <w:t>
</w:t>
      </w: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в "личный кабинет" услугополучателя на портале;</w:t>
      </w:r>
      <w:r>
        <w:br/>
      </w:r>
      <w:r>
        <w:rPr>
          <w:rFonts w:ascii="Times New Roman"/>
          <w:b w:val="false"/>
          <w:i w:val="false"/>
          <w:color w:val="000000"/>
          <w:sz w:val="28"/>
        </w:rPr>
        <w:t>
</w:t>
      </w:r>
      <w:r>
        <w:rPr>
          <w:rFonts w:ascii="Times New Roman"/>
          <w:b w:val="false"/>
          <w:i w:val="false"/>
          <w:color w:val="000000"/>
          <w:sz w:val="28"/>
        </w:rPr>
        <w:t>
      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r>
        <w:br/>
      </w:r>
      <w:r>
        <w:rPr>
          <w:rFonts w:ascii="Times New Roman"/>
          <w:b w:val="false"/>
          <w:i w:val="false"/>
          <w:color w:val="000000"/>
          <w:sz w:val="28"/>
        </w:rPr>
        <w:t>
      Диаграмма функционального взаимодействия информационных систем, задействованных в оказании государственной услуги через портал представлена в </w:t>
      </w:r>
      <w:r>
        <w:rPr>
          <w:rFonts w:ascii="Times New Roman"/>
          <w:b w:val="false"/>
          <w:i w:val="false"/>
          <w:color w:val="000000"/>
          <w:sz w:val="28"/>
        </w:rPr>
        <w:t>приложении 3</w:t>
      </w:r>
      <w:r>
        <w:rPr>
          <w:rFonts w:ascii="Times New Roman"/>
          <w:b w:val="false"/>
          <w:i w:val="false"/>
          <w:color w:val="000000"/>
          <w:sz w:val="28"/>
        </w:rPr>
        <w:t xml:space="preserve"> к Регламенту.</w:t>
      </w:r>
      <w:r>
        <w:br/>
      </w:r>
      <w:r>
        <w:rPr>
          <w:rFonts w:ascii="Times New Roman"/>
          <w:b w:val="false"/>
          <w:i w:val="false"/>
          <w:color w:val="000000"/>
          <w:sz w:val="28"/>
        </w:rPr>
        <w:t>
</w:t>
      </w:r>
      <w:r>
        <w:rPr>
          <w:rFonts w:ascii="Times New Roman"/>
          <w:b w:val="false"/>
          <w:i w:val="false"/>
          <w:color w:val="000000"/>
          <w:sz w:val="28"/>
        </w:rPr>
        <w:t>
      10. Справочник бизнес-процессов оказания государственной услуги указан в </w:t>
      </w:r>
      <w:r>
        <w:rPr>
          <w:rFonts w:ascii="Times New Roman"/>
          <w:b w:val="false"/>
          <w:i w:val="false"/>
          <w:color w:val="000000"/>
          <w:sz w:val="28"/>
        </w:rPr>
        <w:t>приложении 4</w:t>
      </w:r>
      <w:r>
        <w:rPr>
          <w:rFonts w:ascii="Times New Roman"/>
          <w:b w:val="false"/>
          <w:i w:val="false"/>
          <w:color w:val="000000"/>
          <w:sz w:val="28"/>
        </w:rPr>
        <w:t xml:space="preserve"> к Регламенту.</w:t>
      </w:r>
    </w:p>
    <w:bookmarkEnd w:id="10"/>
    <w:bookmarkStart w:name="z45"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"Постановка на учет и очередность,     </w:t>
      </w:r>
      <w:r>
        <w:br/>
      </w:r>
      <w:r>
        <w:rPr>
          <w:rFonts w:ascii="Times New Roman"/>
          <w:b w:val="false"/>
          <w:i w:val="false"/>
          <w:color w:val="000000"/>
          <w:sz w:val="28"/>
        </w:rPr>
        <w:t xml:space="preserve">
а также принятие местными исполнительными  </w:t>
      </w:r>
      <w:r>
        <w:br/>
      </w:r>
      <w:r>
        <w:rPr>
          <w:rFonts w:ascii="Times New Roman"/>
          <w:b w:val="false"/>
          <w:i w:val="false"/>
          <w:color w:val="000000"/>
          <w:sz w:val="28"/>
        </w:rPr>
        <w:t xml:space="preserve">
органами решения о предоставлении жилища   </w:t>
      </w:r>
      <w:r>
        <w:br/>
      </w:r>
      <w:r>
        <w:rPr>
          <w:rFonts w:ascii="Times New Roman"/>
          <w:b w:val="false"/>
          <w:i w:val="false"/>
          <w:color w:val="000000"/>
          <w:sz w:val="28"/>
        </w:rPr>
        <w:t xml:space="preserve">
гражданам, нуждающимся в жилище       </w:t>
      </w:r>
      <w:r>
        <w:br/>
      </w:r>
      <w:r>
        <w:rPr>
          <w:rFonts w:ascii="Times New Roman"/>
          <w:b w:val="false"/>
          <w:i w:val="false"/>
          <w:color w:val="000000"/>
          <w:sz w:val="28"/>
        </w:rPr>
        <w:t xml:space="preserve">
из государственного жилищного фонда     </w:t>
      </w:r>
      <w:r>
        <w:br/>
      </w:r>
      <w:r>
        <w:rPr>
          <w:rFonts w:ascii="Times New Roman"/>
          <w:b w:val="false"/>
          <w:i w:val="false"/>
          <w:color w:val="000000"/>
          <w:sz w:val="28"/>
        </w:rPr>
        <w:t xml:space="preserve">
или жилище, арендованном местным      </w:t>
      </w:r>
      <w:r>
        <w:br/>
      </w:r>
      <w:r>
        <w:rPr>
          <w:rFonts w:ascii="Times New Roman"/>
          <w:b w:val="false"/>
          <w:i w:val="false"/>
          <w:color w:val="000000"/>
          <w:sz w:val="28"/>
        </w:rPr>
        <w:t xml:space="preserve">
исполнительным органом в частном      </w:t>
      </w:r>
      <w:r>
        <w:br/>
      </w:r>
      <w:r>
        <w:rPr>
          <w:rFonts w:ascii="Times New Roman"/>
          <w:b w:val="false"/>
          <w:i w:val="false"/>
          <w:color w:val="000000"/>
          <w:sz w:val="28"/>
        </w:rPr>
        <w:t xml:space="preserve">
жилищном фонде"            </w:t>
      </w:r>
    </w:p>
    <w:bookmarkEnd w:id="11"/>
    <w:p>
      <w:pPr>
        <w:spacing w:after="0"/>
        <w:ind w:left="0"/>
        <w:jc w:val="left"/>
      </w:pPr>
      <w:r>
        <w:rPr>
          <w:rFonts w:ascii="Times New Roman"/>
          <w:b/>
          <w:i w:val="false"/>
          <w:color w:val="000000"/>
        </w:rPr>
        <w:t xml:space="preserve"> Блок-схема прохождения каждого действия (процедуры)</w:t>
      </w:r>
      <w:r>
        <w:br/>
      </w:r>
      <w:r>
        <w:rPr>
          <w:rFonts w:ascii="Times New Roman"/>
          <w:b/>
          <w:i w:val="false"/>
          <w:color w:val="000000"/>
        </w:rPr>
        <w:t>
с указанием длительности каждой процедуры (действия)</w:t>
      </w:r>
    </w:p>
    <w:p>
      <w:pPr>
        <w:spacing w:after="0"/>
        <w:ind w:left="0"/>
        <w:jc w:val="both"/>
      </w:pPr>
      <w:r>
        <w:drawing>
          <wp:inline distT="0" distB="0" distL="0" distR="0">
            <wp:extent cx="73787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2984500"/>
                    </a:xfrm>
                    <a:prstGeom prst="rect">
                      <a:avLst/>
                    </a:prstGeom>
                  </pic:spPr>
                </pic:pic>
              </a:graphicData>
            </a:graphic>
          </wp:inline>
        </w:drawing>
      </w:r>
    </w:p>
    <w:bookmarkStart w:name="z46"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"Постановка на учет и очередность,     </w:t>
      </w:r>
      <w:r>
        <w:br/>
      </w:r>
      <w:r>
        <w:rPr>
          <w:rFonts w:ascii="Times New Roman"/>
          <w:b w:val="false"/>
          <w:i w:val="false"/>
          <w:color w:val="000000"/>
          <w:sz w:val="28"/>
        </w:rPr>
        <w:t xml:space="preserve">
а также принятие местными исполнительными  </w:t>
      </w:r>
      <w:r>
        <w:br/>
      </w:r>
      <w:r>
        <w:rPr>
          <w:rFonts w:ascii="Times New Roman"/>
          <w:b w:val="false"/>
          <w:i w:val="false"/>
          <w:color w:val="000000"/>
          <w:sz w:val="28"/>
        </w:rPr>
        <w:t xml:space="preserve">
органами решения о предоставлении жилища   </w:t>
      </w:r>
      <w:r>
        <w:br/>
      </w:r>
      <w:r>
        <w:rPr>
          <w:rFonts w:ascii="Times New Roman"/>
          <w:b w:val="false"/>
          <w:i w:val="false"/>
          <w:color w:val="000000"/>
          <w:sz w:val="28"/>
        </w:rPr>
        <w:t xml:space="preserve">
гражданам, нуждающимся в жилище       </w:t>
      </w:r>
      <w:r>
        <w:br/>
      </w:r>
      <w:r>
        <w:rPr>
          <w:rFonts w:ascii="Times New Roman"/>
          <w:b w:val="false"/>
          <w:i w:val="false"/>
          <w:color w:val="000000"/>
          <w:sz w:val="28"/>
        </w:rPr>
        <w:t xml:space="preserve">
из государственного жилищного фонда     </w:t>
      </w:r>
      <w:r>
        <w:br/>
      </w:r>
      <w:r>
        <w:rPr>
          <w:rFonts w:ascii="Times New Roman"/>
          <w:b w:val="false"/>
          <w:i w:val="false"/>
          <w:color w:val="000000"/>
          <w:sz w:val="28"/>
        </w:rPr>
        <w:t xml:space="preserve">
или жилище, арендованном местным      </w:t>
      </w:r>
      <w:r>
        <w:br/>
      </w:r>
      <w:r>
        <w:rPr>
          <w:rFonts w:ascii="Times New Roman"/>
          <w:b w:val="false"/>
          <w:i w:val="false"/>
          <w:color w:val="000000"/>
          <w:sz w:val="28"/>
        </w:rPr>
        <w:t xml:space="preserve">
исполнительным органом в частном      </w:t>
      </w:r>
      <w:r>
        <w:br/>
      </w:r>
      <w:r>
        <w:rPr>
          <w:rFonts w:ascii="Times New Roman"/>
          <w:b w:val="false"/>
          <w:i w:val="false"/>
          <w:color w:val="000000"/>
          <w:sz w:val="28"/>
        </w:rPr>
        <w:t xml:space="preserve">
жилищном фонде"            </w:t>
      </w:r>
    </w:p>
    <w:bookmarkEnd w:id="12"/>
    <w:p>
      <w:pPr>
        <w:spacing w:after="0"/>
        <w:ind w:left="0"/>
        <w:jc w:val="left"/>
      </w:pPr>
      <w:r>
        <w:rPr>
          <w:rFonts w:ascii="Times New Roman"/>
          <w:b/>
          <w:i w:val="false"/>
          <w:color w:val="000000"/>
        </w:rPr>
        <w:t xml:space="preserve"> Диаграмма</w:t>
      </w:r>
      <w:r>
        <w:br/>
      </w:r>
      <w:r>
        <w:rPr>
          <w:rFonts w:ascii="Times New Roman"/>
          <w:b/>
          <w:i w:val="false"/>
          <w:color w:val="000000"/>
        </w:rPr>
        <w:t>
функционального взаимодействия информационных систем,</w:t>
      </w:r>
      <w:r>
        <w:br/>
      </w:r>
      <w:r>
        <w:rPr>
          <w:rFonts w:ascii="Times New Roman"/>
          <w:b/>
          <w:i w:val="false"/>
          <w:color w:val="000000"/>
        </w:rPr>
        <w:t>
задействованных в оказании государственной услуги</w:t>
      </w:r>
      <w:r>
        <w:br/>
      </w:r>
      <w:r>
        <w:rPr>
          <w:rFonts w:ascii="Times New Roman"/>
          <w:b/>
          <w:i w:val="false"/>
          <w:color w:val="000000"/>
        </w:rPr>
        <w:t>
через Центр обслуживания населения</w:t>
      </w:r>
    </w:p>
    <w:p>
      <w:pPr>
        <w:spacing w:after="0"/>
        <w:ind w:left="0"/>
        <w:jc w:val="both"/>
      </w:pPr>
      <w:r>
        <w:drawing>
          <wp:inline distT="0" distB="0" distL="0" distR="0">
            <wp:extent cx="74422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42200" cy="37973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Условные обозначения и сокращения:</w:t>
      </w:r>
    </w:p>
    <w:p>
      <w:pPr>
        <w:spacing w:after="0"/>
        <w:ind w:left="0"/>
        <w:jc w:val="both"/>
      </w:pPr>
      <w:r>
        <w:drawing>
          <wp:inline distT="0" distB="0" distL="0" distR="0">
            <wp:extent cx="74041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04100" cy="4927600"/>
                    </a:xfrm>
                    <a:prstGeom prst="rect">
                      <a:avLst/>
                    </a:prstGeom>
                  </pic:spPr>
                </pic:pic>
              </a:graphicData>
            </a:graphic>
          </wp:inline>
        </w:drawing>
      </w:r>
    </w:p>
    <w:bookmarkStart w:name="z47"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"Постановка на учет и очередность,     </w:t>
      </w:r>
      <w:r>
        <w:br/>
      </w:r>
      <w:r>
        <w:rPr>
          <w:rFonts w:ascii="Times New Roman"/>
          <w:b w:val="false"/>
          <w:i w:val="false"/>
          <w:color w:val="000000"/>
          <w:sz w:val="28"/>
        </w:rPr>
        <w:t xml:space="preserve">
а также принятие местными исполнительными  </w:t>
      </w:r>
      <w:r>
        <w:br/>
      </w:r>
      <w:r>
        <w:rPr>
          <w:rFonts w:ascii="Times New Roman"/>
          <w:b w:val="false"/>
          <w:i w:val="false"/>
          <w:color w:val="000000"/>
          <w:sz w:val="28"/>
        </w:rPr>
        <w:t xml:space="preserve">
органами решения о предоставлении жилища   </w:t>
      </w:r>
      <w:r>
        <w:br/>
      </w:r>
      <w:r>
        <w:rPr>
          <w:rFonts w:ascii="Times New Roman"/>
          <w:b w:val="false"/>
          <w:i w:val="false"/>
          <w:color w:val="000000"/>
          <w:sz w:val="28"/>
        </w:rPr>
        <w:t xml:space="preserve">
гражданам, нуждающимся в жилище       </w:t>
      </w:r>
      <w:r>
        <w:br/>
      </w:r>
      <w:r>
        <w:rPr>
          <w:rFonts w:ascii="Times New Roman"/>
          <w:b w:val="false"/>
          <w:i w:val="false"/>
          <w:color w:val="000000"/>
          <w:sz w:val="28"/>
        </w:rPr>
        <w:t xml:space="preserve">
из государственного жилищного фонда     </w:t>
      </w:r>
      <w:r>
        <w:br/>
      </w:r>
      <w:r>
        <w:rPr>
          <w:rFonts w:ascii="Times New Roman"/>
          <w:b w:val="false"/>
          <w:i w:val="false"/>
          <w:color w:val="000000"/>
          <w:sz w:val="28"/>
        </w:rPr>
        <w:t xml:space="preserve">
или жилище, арендованном местным      </w:t>
      </w:r>
      <w:r>
        <w:br/>
      </w:r>
      <w:r>
        <w:rPr>
          <w:rFonts w:ascii="Times New Roman"/>
          <w:b w:val="false"/>
          <w:i w:val="false"/>
          <w:color w:val="000000"/>
          <w:sz w:val="28"/>
        </w:rPr>
        <w:t xml:space="preserve">
исполнительным органом в частном      </w:t>
      </w:r>
      <w:r>
        <w:br/>
      </w:r>
      <w:r>
        <w:rPr>
          <w:rFonts w:ascii="Times New Roman"/>
          <w:b w:val="false"/>
          <w:i w:val="false"/>
          <w:color w:val="000000"/>
          <w:sz w:val="28"/>
        </w:rPr>
        <w:t xml:space="preserve">
жилищном фонде"            </w:t>
      </w:r>
    </w:p>
    <w:bookmarkEnd w:id="13"/>
    <w:p>
      <w:pPr>
        <w:spacing w:after="0"/>
        <w:ind w:left="0"/>
        <w:jc w:val="left"/>
      </w:pPr>
      <w:r>
        <w:rPr>
          <w:rFonts w:ascii="Times New Roman"/>
          <w:b/>
          <w:i w:val="false"/>
          <w:color w:val="000000"/>
        </w:rPr>
        <w:t xml:space="preserve"> Диаграмма</w:t>
      </w:r>
      <w:r>
        <w:br/>
      </w:r>
      <w:r>
        <w:rPr>
          <w:rFonts w:ascii="Times New Roman"/>
          <w:b/>
          <w:i w:val="false"/>
          <w:color w:val="000000"/>
        </w:rPr>
        <w:t>
функционального взаимодействия информационных систем</w:t>
      </w:r>
      <w:r>
        <w:br/>
      </w:r>
      <w:r>
        <w:rPr>
          <w:rFonts w:ascii="Times New Roman"/>
          <w:b/>
          <w:i w:val="false"/>
          <w:color w:val="000000"/>
        </w:rPr>
        <w:t>
в процессе оказания государственной услуги</w:t>
      </w:r>
      <w:r>
        <w:br/>
      </w:r>
      <w:r>
        <w:rPr>
          <w:rFonts w:ascii="Times New Roman"/>
          <w:b/>
          <w:i w:val="false"/>
          <w:color w:val="000000"/>
        </w:rPr>
        <w:t>
через портал "электронного правительства"</w:t>
      </w:r>
    </w:p>
    <w:p>
      <w:pPr>
        <w:spacing w:after="0"/>
        <w:ind w:left="0"/>
        <w:jc w:val="both"/>
      </w:pPr>
      <w:r>
        <w:drawing>
          <wp:inline distT="0" distB="0" distL="0" distR="0">
            <wp:extent cx="72898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89800" cy="35560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Условные обозначения и сокращения:</w:t>
      </w:r>
    </w:p>
    <w:p>
      <w:pPr>
        <w:spacing w:after="0"/>
        <w:ind w:left="0"/>
        <w:jc w:val="both"/>
      </w:pPr>
      <w:r>
        <w:drawing>
          <wp:inline distT="0" distB="0" distL="0" distR="0">
            <wp:extent cx="72771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77100" cy="6172200"/>
                    </a:xfrm>
                    <a:prstGeom prst="rect">
                      <a:avLst/>
                    </a:prstGeom>
                  </pic:spPr>
                </pic:pic>
              </a:graphicData>
            </a:graphic>
          </wp:inline>
        </w:drawing>
      </w:r>
    </w:p>
    <w:bookmarkStart w:name="z48" w:id="1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"Постановка на учет и очередность,     </w:t>
      </w:r>
      <w:r>
        <w:br/>
      </w:r>
      <w:r>
        <w:rPr>
          <w:rFonts w:ascii="Times New Roman"/>
          <w:b w:val="false"/>
          <w:i w:val="false"/>
          <w:color w:val="000000"/>
          <w:sz w:val="28"/>
        </w:rPr>
        <w:t xml:space="preserve">
а также принятие местными исполнительными  </w:t>
      </w:r>
      <w:r>
        <w:br/>
      </w:r>
      <w:r>
        <w:rPr>
          <w:rFonts w:ascii="Times New Roman"/>
          <w:b w:val="false"/>
          <w:i w:val="false"/>
          <w:color w:val="000000"/>
          <w:sz w:val="28"/>
        </w:rPr>
        <w:t xml:space="preserve">
органами решения о предоставлении жилища   </w:t>
      </w:r>
      <w:r>
        <w:br/>
      </w:r>
      <w:r>
        <w:rPr>
          <w:rFonts w:ascii="Times New Roman"/>
          <w:b w:val="false"/>
          <w:i w:val="false"/>
          <w:color w:val="000000"/>
          <w:sz w:val="28"/>
        </w:rPr>
        <w:t xml:space="preserve">
гражданам, нуждающимся в жилище       </w:t>
      </w:r>
      <w:r>
        <w:br/>
      </w:r>
      <w:r>
        <w:rPr>
          <w:rFonts w:ascii="Times New Roman"/>
          <w:b w:val="false"/>
          <w:i w:val="false"/>
          <w:color w:val="000000"/>
          <w:sz w:val="28"/>
        </w:rPr>
        <w:t xml:space="preserve">
из государственного жилищного фонда     </w:t>
      </w:r>
      <w:r>
        <w:br/>
      </w:r>
      <w:r>
        <w:rPr>
          <w:rFonts w:ascii="Times New Roman"/>
          <w:b w:val="false"/>
          <w:i w:val="false"/>
          <w:color w:val="000000"/>
          <w:sz w:val="28"/>
        </w:rPr>
        <w:t xml:space="preserve">
или жилище, арендованном местным      </w:t>
      </w:r>
      <w:r>
        <w:br/>
      </w:r>
      <w:r>
        <w:rPr>
          <w:rFonts w:ascii="Times New Roman"/>
          <w:b w:val="false"/>
          <w:i w:val="false"/>
          <w:color w:val="000000"/>
          <w:sz w:val="28"/>
        </w:rPr>
        <w:t xml:space="preserve">
исполнительным органом в частном      </w:t>
      </w:r>
      <w:r>
        <w:br/>
      </w:r>
      <w:r>
        <w:rPr>
          <w:rFonts w:ascii="Times New Roman"/>
          <w:b w:val="false"/>
          <w:i w:val="false"/>
          <w:color w:val="000000"/>
          <w:sz w:val="28"/>
        </w:rPr>
        <w:t xml:space="preserve">
жилищном фонде"            </w:t>
      </w:r>
    </w:p>
    <w:bookmarkEnd w:id="14"/>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
"Постановка на учет и очередность, а также принятие местными</w:t>
      </w:r>
      <w:r>
        <w:br/>
      </w:r>
      <w:r>
        <w:rPr>
          <w:rFonts w:ascii="Times New Roman"/>
          <w:b/>
          <w:i w:val="false"/>
          <w:color w:val="000000"/>
        </w:rPr>
        <w:t>
исполнительными органами решения о предоставлении жилища</w:t>
      </w:r>
      <w:r>
        <w:br/>
      </w:r>
      <w:r>
        <w:rPr>
          <w:rFonts w:ascii="Times New Roman"/>
          <w:b/>
          <w:i w:val="false"/>
          <w:color w:val="000000"/>
        </w:rPr>
        <w:t>
гражданам, нуждающимся в жилище из государственного</w:t>
      </w:r>
      <w:r>
        <w:br/>
      </w:r>
      <w:r>
        <w:rPr>
          <w:rFonts w:ascii="Times New Roman"/>
          <w:b/>
          <w:i w:val="false"/>
          <w:color w:val="000000"/>
        </w:rPr>
        <w:t>
жилищного фонда или жилище, арендованном местным</w:t>
      </w:r>
      <w:r>
        <w:br/>
      </w:r>
      <w:r>
        <w:rPr>
          <w:rFonts w:ascii="Times New Roman"/>
          <w:b/>
          <w:i w:val="false"/>
          <w:color w:val="000000"/>
        </w:rPr>
        <w:t>
исполнительным органом в частном жилищном фонде"</w:t>
      </w:r>
    </w:p>
    <w:p>
      <w:pPr>
        <w:spacing w:after="0"/>
        <w:ind w:left="0"/>
        <w:jc w:val="both"/>
      </w:pPr>
      <w:r>
        <w:drawing>
          <wp:inline distT="0" distB="0" distL="0" distR="0">
            <wp:extent cx="7175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75500" cy="3086100"/>
                    </a:xfrm>
                    <a:prstGeom prst="rect">
                      <a:avLst/>
                    </a:prstGeom>
                  </pic:spPr>
                </pic:pic>
              </a:graphicData>
            </a:graphic>
          </wp:inline>
        </w:drawing>
      </w:r>
    </w:p>
    <w:p>
      <w:pPr>
        <w:spacing w:after="0"/>
        <w:ind w:left="0"/>
        <w:jc w:val="both"/>
      </w:pPr>
      <w:r>
        <w:drawing>
          <wp:inline distT="0" distB="0" distL="0" distR="0">
            <wp:extent cx="71882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88200" cy="3759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