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6bbd" w14:textId="4c26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заключений государственной экологической экспертизы для объектов II, III и IV категорий"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августа 2014 года № 413. Зарегистрировано Департаментом юстиции Костанайской области 18 сентября 2014 года № 5097.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предлагаемый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413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заключений государственной экологической</w:t>
      </w:r>
      <w:r>
        <w:br/>
      </w:r>
      <w:r>
        <w:rPr>
          <w:rFonts w:ascii="Times New Roman"/>
          <w:b/>
          <w:i w:val="false"/>
          <w:color w:val="000000"/>
        </w:rPr>
        <w:t>
экспертизы для объектов II, III и IV категорий"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акимата Костанайской области")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филиал Республиканского государственного предприятия "Центр обслуживания населения" по Костанайской области и его отделы городов и районов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заключение государственной экологической экспертизы для объектов II, III и IV категорий с выводом "согласовывается/ не согласовывается", в форме электронного документа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электронная и бумажная.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при обращении к услугодателю является наличие заявления,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заключений государственной экологической экспертизы для объектов II, III и IV категорий",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2014 года № 702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(далее – Стандарт)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или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 от услугополучателя (30 минут), регистрирует их и выдает копию заявления с указанием даты и времени приема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пакет документов и передает руководителю услугодателя для наложения резолюции (2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– регистрация пакетов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резолюцию (2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–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 на соответствие предъявляемым требованиям и подготавливает соответствующий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заключения государственной экологической экспертизы – через услугодателя не более 29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повторного заключения государственной экологической экспертизы – через услугодателя не более 9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экспертиза - через услугодателя не более 4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– соответствующий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соответствующий результат оказания государственной услуги (2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– подписанный соответствующий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услугополучателю результат оказания государственной услуги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– выданный результат оказания государственной услуги услугополучателю.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 от услугополучателя (30 минут), регистрирует их, и выдает копию заявления с указанием даты и времени приема пакетов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пакет документов и передает руководителю услугодателя для наложения резолюции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резолюцию и передает ответственному исполнителю услугодателя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 на соответствие предъявляемым требованиям и подготавливает соответствующий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заключения государственной экологической экспертизы – через услугодателя не более 29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повторного заключения государственной экологической экспертизы – через услугодателя не более 9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экспертиза - через услугодателя не более 4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проект результата оказания государственной услуги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соответствующий результат оказания государственной услуги и передает сотруднику услугодателя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услугополучателю результат оказания государственной услуги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обслуживания населения и (или) иными</w:t>
      </w:r>
      <w:r>
        <w:br/>
      </w:r>
      <w:r>
        <w:rPr>
          <w:rFonts w:ascii="Times New Roman"/>
          <w:b/>
          <w:i w:val="false"/>
          <w:color w:val="000000"/>
        </w:rPr>
        <w:t>
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ЦОН,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ЦОНа проверяет правильность заполнения заявления и полноту пакета документов, предоставленных услугополучателем,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работник ЦОНа отказывает в приеме заявления и выдает расписку об отказе в приеме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ЦОНа регистрирует заявление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ЦОНа, принявшего пакет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 отчества услугополучателя, фамилии, имени, отчества представителя услугополучателя, и их контактные телефоны (не более 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(не более 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ЦОНа идентифицируют личность услугополучателя,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 (не более 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ЦОНа формирует пакет документов и направляет его услугодателю через курьерскую или иную уполномоченную на это связь (не более 1 календарного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 подготавливает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заключения государственной экологической экспертизы – через ЦОН не более 28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повторного заключения государственной экологической экспертизы – через ЦОН не более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экспертиза - через ЦОН не более 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ЦОНа в срок, указанный в расписке о приеме соответствующих документов, выдает результат оказания государственной услуги услугополучателю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государственной услуги в указанный в ней срок, ЦОН обеспечивает его хранение в течение одного месяца, после чего передает его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ЦОН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государственной услуги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услуги,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заключений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экологической экспертизы для объектов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II, III и IV категорий"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
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заключений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экологической экспертизы для объектов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II, III и IV категорий" 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
задействованных в оказании государственной услуги через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заключений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экологической экспертизы для объектов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II, III и IV категорий" 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
задействованных в оказании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заключений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экологической экспертизы для объектов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II, III и IV категорий"  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заключений государственной экологической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
для объектов II, III и IV категорий"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76200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