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2873b" w14:textId="66287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расчета ставки арендной платы при передаче областного коммунального имущества в имущественный наем (аренду)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4 мая 2014 года № 191. Зарегистрировано Департаментом юстиции Костанайской области 28 мая 2014 года № 4773. Утратило силу постановлением акимата Костанайской области от 5 августа 2014 года № 390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акимата Костанайской области от 05.08.2014 </w:t>
      </w:r>
      <w:r>
        <w:rPr>
          <w:rFonts w:ascii="Times New Roman"/>
          <w:b w:val="false"/>
          <w:i w:val="false"/>
          <w:color w:val="ff0000"/>
          <w:sz w:val="28"/>
        </w:rPr>
        <w:t>№ 390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"О государственном имуществе",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февраля 2014 года № 88 "Об утверждении Правил передачи государственного имущества в имущественный наем (аренду)"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расчет ставки арендной платы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 передаче областного коммунального имущества в имущественный наем (аренду).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Н. Садуакасов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мая 2014 года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191  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ставки арендной платы</w:t>
      </w:r>
      <w:r>
        <w:br/>
      </w:r>
      <w:r>
        <w:rPr>
          <w:rFonts w:ascii="Times New Roman"/>
          <w:b/>
          <w:i w:val="false"/>
          <w:color w:val="000000"/>
        </w:rPr>
        <w:t>
при передаче областного коммунального имущества в имущественный наем (аренду)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Базовая ставка арендной платы в год за использование 1 квадратного метра объектов государственного нежилого фонда, находящихся на балансе областных коммунальных юридических лиц составляет 1 месячный расчетный показатель.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Ставка арендной платы в год за имущественный наем (аренду) объекта государственного нежилого фонда рассчитывается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Ап = Бс *К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*К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*К</w:t>
      </w:r>
      <w:r>
        <w:rPr>
          <w:rFonts w:ascii="Times New Roman"/>
          <w:b w:val="false"/>
          <w:i w:val="false"/>
          <w:color w:val="000000"/>
          <w:vertAlign w:val="sub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*S,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Ап - ставка арендной платы в год объекта государственного нежилого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Бс - базовая ставка;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>- коэффициент, учитывающий территориальную принадлежность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>- коэффициент, учитывающий месторасположение объекта в городе Костанай;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>- коэффициент, учитывающий тип строения;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S - площадь арендуемого помещения (квадратный метр).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Коэффициент, учитывающий территориальную принадлежность объекта: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63"/>
        <w:gridCol w:w="1277"/>
      </w:tblGrid>
      <w:tr>
        <w:trPr>
          <w:trHeight w:val="30" w:hRule="atLeast"/>
        </w:trPr>
        <w:tc>
          <w:tcPr>
            <w:tcW w:w="10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зона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Костанай, город Лисаковск, город Рудный, город Аркалык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</w:tc>
      </w:tr>
      <w:tr>
        <w:trPr>
          <w:trHeight w:val="30" w:hRule="atLeast"/>
        </w:trPr>
        <w:tc>
          <w:tcPr>
            <w:tcW w:w="10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Районы области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Коэффициент, учитывающий месторасположение объекта в городе Костанай: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43"/>
        <w:gridCol w:w="1297"/>
      </w:tblGrid>
      <w:tr>
        <w:trPr>
          <w:trHeight w:val="30" w:hRule="atLeast"/>
        </w:trPr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Месторасположение объекта в городе Костанай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в границах улиц Каирбекова-Темирбаева (включая привокзальную площадь), Павлова-Шевченко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районы города (за исключением составных частей города)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45" w:hRule="atLeast"/>
        </w:trPr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Составные части города (жилые массивы: Амангельды, Геофизик, Дружба, Кунай, Тепличный, Ударник)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Коэффициент, учитывающий тип строения: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99"/>
        <w:gridCol w:w="1261"/>
      </w:tblGrid>
      <w:tr>
        <w:trPr>
          <w:trHeight w:val="30" w:hRule="atLeast"/>
        </w:trPr>
        <w:tc>
          <w:tcPr>
            <w:tcW w:w="10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строения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0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Отдельно стоящее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Пристроенное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Полуподвальное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0,85</w:t>
            </w:r>
          </w:p>
        </w:tc>
      </w:tr>
      <w:tr>
        <w:trPr>
          <w:trHeight w:val="240" w:hRule="atLeast"/>
        </w:trPr>
        <w:tc>
          <w:tcPr>
            <w:tcW w:w="10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Подвальное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0,70</w:t>
            </w:r>
          </w:p>
        </w:tc>
      </w:tr>
      <w:tr>
        <w:trPr>
          <w:trHeight w:val="240" w:hRule="atLeast"/>
        </w:trPr>
        <w:tc>
          <w:tcPr>
            <w:tcW w:w="10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Складское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0,60</w:t>
            </w:r>
          </w:p>
        </w:tc>
      </w:tr>
    </w:tbl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Ставка арендной платы за имущественный наем (аренду) оборудования, автотранспортных средств и других непотребляемых вещей определяется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Ао = АО + (БС*СР),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Ао - ставка арендной платы в год оборудования, автотранспортных средств и других непотребляемых вещей;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АО - сумма амортизационных отчислений, в соответствии с предельными нормами амортизации, определенными </w:t>
      </w:r>
      <w:r>
        <w:rPr>
          <w:rFonts w:ascii="Times New Roman"/>
          <w:b w:val="false"/>
          <w:i w:val="false"/>
          <w:color w:val="000000"/>
          <w:sz w:val="28"/>
        </w:rPr>
        <w:t>статьей 120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 (Налоговый кодекс)";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БС - балансовая стоимость;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 - ставка рефинансирования Национального банка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Ставка арендной платы за наем (аренду) объекта, используемого неполное рабочее время (по часам), рассчитывается по следующим формулам: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государственного нежилого фонда, находящегося на балансе областных коммунальных юридических лиц: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 = S* Бс *К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*К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*К</w:t>
      </w:r>
      <w:r>
        <w:rPr>
          <w:rFonts w:ascii="Times New Roman"/>
          <w:b w:val="false"/>
          <w:i w:val="false"/>
          <w:color w:val="000000"/>
          <w:vertAlign w:val="sub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/РВ*N,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 - ставка арендной платы объекта, используемого неполное рабочее время;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S - площадь (квадратных метров);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Бс - базовая ставка,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>- коэффициент, учитывающий территориальную принадлежность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>- коэффициент, учитывающий месторасположение объекта в городе Костанай;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>- коэффициент, учитывающий тип строения;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РВ - баланс рабочего времени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- количество часов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оборудования, автотранспортных средств и других непотребляемых вещей: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 = (Ао/РВ)*N,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 - ставка арендной платы в год оборудования, автотранспортных средств и других непотребляемых вещей;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Ао - арендная плата в год за наем (аренду) оборудования, автотранспортных средств и других непотребляемых вещей;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РВ - баланс рабочего времени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- количество часов в год.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