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3e63" w14:textId="d0f3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 № 1 и № 2 Семилетненского месторождения подземных вод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февраля 2014 года № 39. Зарегистрировано Департаментом юстиции Костанайской области 19 марта 2014 года № 4514.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зоны санитарной охраны хозяйственно – питьевого водозабора на участке скважин № 1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 2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Семилетненского месторождения подземных вод в Костанайском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Торгайская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 – питьевого водозабора на участке скважин № 1</w:t>
      </w:r>
      <w:r>
        <w:rPr>
          <w:rFonts w:ascii="Times New Roman"/>
          <w:b/>
          <w:i w:val="false"/>
          <w:color w:val="000000"/>
          <w:vertAlign w:val="superscript"/>
        </w:rPr>
        <w:t>э</w:t>
      </w:r>
      <w:r>
        <w:rPr>
          <w:rFonts w:ascii="Times New Roman"/>
          <w:b/>
          <w:i w:val="false"/>
          <w:color w:val="000000"/>
        </w:rPr>
        <w:t xml:space="preserve"> и № 2</w:t>
      </w:r>
      <w:r>
        <w:rPr>
          <w:rFonts w:ascii="Times New Roman"/>
          <w:b/>
          <w:i w:val="false"/>
          <w:color w:val="000000"/>
          <w:vertAlign w:val="superscript"/>
        </w:rPr>
        <w:t>э</w:t>
      </w:r>
      <w:r>
        <w:rPr>
          <w:rFonts w:ascii="Times New Roman"/>
          <w:b/>
          <w:i w:val="false"/>
          <w:color w:val="000000"/>
        </w:rPr>
        <w:t xml:space="preserve"> Семилетненского месторождения подземных вод в Костанайском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226,6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48,6 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- 371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"обоснования размеров поясов зон санитарной охраны участка скважин № 1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 2</w:t>
      </w:r>
      <w:r>
        <w:rPr>
          <w:rFonts w:ascii="Times New Roman"/>
          <w:b w:val="false"/>
          <w:i w:val="false"/>
          <w:color w:val="000000"/>
          <w:vertAlign w:val="super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, Семилетненского месторождения подземных вод, расположенных в Костанайском районе, Костанайской области" (заказчик – Филиал "Сарбайские межсистемные электрические сети" акционерного общества "KEGOC").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