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d8c85" w14:textId="40d8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Жанаозенского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Жанаозенского городского маслихата Мангистауской области от 30 июня 2014 года № 30/246. Зарегистрировано Департаментом юстиции Мангистауской области 07 август 2014 года № 2481. Утратило силу решением Жанаозенского городского маслихата Мангистауской области от 28 ноября 2017 года № 15/184</w:t>
      </w:r>
    </w:p>
    <w:p>
      <w:pPr>
        <w:spacing w:after="0"/>
        <w:ind w:left="0"/>
        <w:jc w:val="left"/>
      </w:pPr>
      <w:r>
        <w:rPr>
          <w:rFonts w:ascii="Times New Roman"/>
          <w:b w:val="false"/>
          <w:i w:val="false"/>
          <w:color w:val="ff0000"/>
          <w:sz w:val="28"/>
        </w:rPr>
        <w:t xml:space="preserve">      Сноска. Утратило силу решением Жанаозенского городского маслихата Мангистауской области от 28.11.2017 </w:t>
      </w:r>
      <w:r>
        <w:rPr>
          <w:rFonts w:ascii="Times New Roman"/>
          <w:b w:val="false"/>
          <w:i w:val="false"/>
          <w:color w:val="ff0000"/>
          <w:sz w:val="28"/>
        </w:rPr>
        <w:t>№ 15/184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Жанаозенский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1.Утвердить </w:t>
      </w:r>
      <w:r>
        <w:rPr>
          <w:rFonts w:ascii="Times New Roman"/>
          <w:b w:val="false"/>
          <w:i w:val="false"/>
          <w:color w:val="000000"/>
          <w:sz w:val="28"/>
        </w:rPr>
        <w:t>Регламент</w:t>
      </w:r>
      <w:r>
        <w:rPr>
          <w:rFonts w:ascii="Times New Roman"/>
          <w:b w:val="false"/>
          <w:i w:val="false"/>
          <w:color w:val="000000"/>
          <w:sz w:val="28"/>
        </w:rPr>
        <w:t xml:space="preserve"> Жанаозенского городского маслихата согласно приложению.</w:t>
      </w:r>
      <w:r>
        <w:br/>
      </w:r>
      <w:r>
        <w:rPr>
          <w:rFonts w:ascii="Times New Roman"/>
          <w:b w:val="false"/>
          <w:i w:val="false"/>
          <w:color w:val="000000"/>
          <w:sz w:val="28"/>
        </w:rPr>
        <w:t xml:space="preserve">
      </w:t>
      </w:r>
      <w:r>
        <w:rPr>
          <w:rFonts w:ascii="Times New Roman"/>
          <w:b w:val="false"/>
          <w:i w:val="false"/>
          <w:color w:val="000000"/>
          <w:sz w:val="28"/>
        </w:rPr>
        <w:t>2. Руководителю аппарата Жанаозенского городского маслихата (Орынбеков И.) обеспечить государственную регистрацию данного решения в органах юстиции, его официальное опубликование в средствах массовой информации и размещения в информационно-правовой системе "Әділет".</w:t>
      </w:r>
      <w:r>
        <w:br/>
      </w:r>
      <w:r>
        <w:rPr>
          <w:rFonts w:ascii="Times New Roman"/>
          <w:b w:val="false"/>
          <w:i w:val="false"/>
          <w:color w:val="000000"/>
          <w:sz w:val="28"/>
        </w:rPr>
        <w:t xml:space="preserve">
      </w:t>
      </w:r>
      <w:r>
        <w:rPr>
          <w:rFonts w:ascii="Times New Roman"/>
          <w:b w:val="false"/>
          <w:i w:val="false"/>
          <w:color w:val="000000"/>
          <w:sz w:val="28"/>
        </w:rPr>
        <w:t>4. Контроль за исполнением настоящего решения возложить на руководителя аппарата Жанаозенского городского маслихата (И. Орынбекову).</w:t>
      </w:r>
      <w:r>
        <w:br/>
      </w:r>
      <w:r>
        <w:rPr>
          <w:rFonts w:ascii="Times New Roman"/>
          <w:b w:val="false"/>
          <w:i w:val="false"/>
          <w:color w:val="000000"/>
          <w:sz w:val="28"/>
        </w:rPr>
        <w:t xml:space="preserve">
      </w:t>
      </w:r>
      <w:r>
        <w:rPr>
          <w:rFonts w:ascii="Times New Roman"/>
          <w:b w:val="false"/>
          <w:i w:val="false"/>
          <w:color w:val="000000"/>
          <w:sz w:val="28"/>
        </w:rPr>
        <w:t xml:space="preserve">5. Настоящее </w:t>
      </w:r>
      <w:r>
        <w:rPr>
          <w:rFonts w:ascii="Times New Roman"/>
          <w:b w:val="false"/>
          <w:i w:val="false"/>
          <w:color w:val="000000"/>
          <w:sz w:val="28"/>
        </w:rPr>
        <w:t>решение</w:t>
      </w:r>
      <w:r>
        <w:rPr>
          <w:rFonts w:ascii="Times New Roman"/>
          <w:b w:val="false"/>
          <w:i w:val="false"/>
          <w:color w:val="000000"/>
          <w:sz w:val="28"/>
        </w:rPr>
        <w:t xml:space="preserve">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2867"/>
        <w:gridCol w:w="9433"/>
      </w:tblGrid>
      <w:tr>
        <w:trPr>
          <w:trHeight w:val="30" w:hRule="atLeast"/>
        </w:trPr>
        <w:tc>
          <w:tcPr>
            <w:tcW w:w="28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94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Карамурзаев</w:t>
            </w:r>
            <w:r>
              <w:br/>
            </w:r>
            <w:r>
              <w:rPr>
                <w:rFonts w:ascii="Times New Roman"/>
                <w:b w:val="false"/>
                <w:i w:val="false"/>
                <w:color w:val="000000"/>
                <w:sz w:val="20"/>
              </w:rPr>
              <w:t>
</w:t>
            </w:r>
          </w:p>
        </w:tc>
      </w:tr>
      <w:tr>
        <w:trPr>
          <w:trHeight w:val="30" w:hRule="atLeast"/>
        </w:trPr>
        <w:tc>
          <w:tcPr>
            <w:tcW w:w="28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городского</w:t>
            </w:r>
            <w:r>
              <w:br/>
            </w:r>
            <w:r>
              <w:rPr>
                <w:rFonts w:ascii="Times New Roman"/>
                <w:b w:val="false"/>
                <w:i w:val="false"/>
                <w:color w:val="000000"/>
                <w:sz w:val="20"/>
              </w:rPr>
              <w:t>
</w:t>
            </w:r>
          </w:p>
        </w:tc>
        <w:tc>
          <w:tcPr>
            <w:tcW w:w="94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6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943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 Мыңбай</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Жанаозенского городского</w:t>
            </w:r>
            <w:r>
              <w:br/>
            </w:r>
            <w:r>
              <w:rPr>
                <w:rFonts w:ascii="Times New Roman"/>
                <w:b w:val="false"/>
                <w:i w:val="false"/>
                <w:color w:val="000000"/>
                <w:sz w:val="20"/>
              </w:rPr>
              <w:t xml:space="preserve">маслихата от 30 июня 2014 года №30/246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rPr>
          <w:rFonts w:ascii="Times New Roman"/>
          <w:b/>
          <w:i w:val="false"/>
          <w:color w:val="000000"/>
        </w:rPr>
        <w:t xml:space="preserve"> Регламент Жанаозенского городского маслихата</w:t>
      </w:r>
      <w:r>
        <w:br/>
      </w:r>
      <w:r>
        <w:rPr>
          <w:rFonts w:ascii="Times New Roman"/>
          <w:b/>
          <w:i w:val="false"/>
          <w:color w:val="000000"/>
        </w:rPr>
        <w:t>1. Общие положения</w:t>
      </w:r>
    </w:p>
    <w:p>
      <w:pPr>
        <w:spacing w:after="0"/>
        <w:ind w:left="0"/>
        <w:jc w:val="left"/>
      </w:pPr>
      <w:r>
        <w:rPr>
          <w:rFonts w:ascii="Times New Roman"/>
          <w:b w:val="false"/>
          <w:i w:val="false"/>
          <w:color w:val="000000"/>
          <w:sz w:val="28"/>
        </w:rPr>
        <w:t xml:space="preserve">      1. Настоящий Регламент Жанаозенского городского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и Указом Президента Республики Казахстан от 3 декабря 2013 года </w:t>
      </w:r>
      <w:r>
        <w:rPr>
          <w:rFonts w:ascii="Times New Roman"/>
          <w:b w:val="false"/>
          <w:i w:val="false"/>
          <w:color w:val="000000"/>
          <w:sz w:val="28"/>
        </w:rPr>
        <w:t>№704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городского маслихата, заседаний его органов, внесения и рассмотрения на них вопросов, образования и избрания органов городского маслихата, заслушивания отчетов об их деятельности, отчетов о проделанной работе городского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городском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Жанаозенский городской маслихат (местный представительный орган) - выборный орган, избираемый населением города Жанаозен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3. Деятельность маслихата регулируется Конституцией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городского маслихата</w:t>
      </w:r>
      <w:r>
        <w:br/>
      </w:r>
      <w:r>
        <w:rPr>
          <w:rFonts w:ascii="Times New Roman"/>
          <w:b/>
          <w:i w:val="false"/>
          <w:color w:val="000000"/>
        </w:rPr>
        <w:t>2.1. Сессии маслихата</w:t>
      </w:r>
    </w:p>
    <w:p>
      <w:pPr>
        <w:spacing w:after="0"/>
        <w:ind w:left="0"/>
        <w:jc w:val="left"/>
      </w:pPr>
      <w:r>
        <w:rPr>
          <w:rFonts w:ascii="Times New Roman"/>
          <w:b w:val="false"/>
          <w:i w:val="false"/>
          <w:color w:val="000000"/>
          <w:sz w:val="28"/>
        </w:rPr>
        <w:t>      4. Основной формой деятельности городского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городского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городского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городского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Жанаозенской городской избирательной комиссии не позднее чем в тридцатидневный срок со дня регистрации депутатов городского маслихата, при наличии не менее трех четвертей от числа депутатов, определенного для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Жанаозенской городской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Жанаозенской городской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маслихата, а также акима города.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города Жанаозен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w:t>
      </w:r>
      <w:r>
        <w:br/>
      </w:r>
      <w:r>
        <w:rPr>
          <w:rFonts w:ascii="Times New Roman"/>
          <w:b w:val="false"/>
          <w:i w:val="false"/>
          <w:color w:val="000000"/>
          <w:sz w:val="28"/>
        </w:rPr>
        <w:t xml:space="preserve">
      </w:t>
      </w:r>
      <w:r>
        <w:rPr>
          <w:rFonts w:ascii="Times New Roman"/>
          <w:b w:val="false"/>
          <w:i w:val="false"/>
          <w:color w:val="000000"/>
          <w:sz w:val="28"/>
        </w:rPr>
        <w:t xml:space="preserve">13. По вопросам, относящимся к ведению маслихата, на сессии городского маслихата приглашаются аким города, руководители государственных учреждений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Утренние заседания проводятся с 10 до 13 часов. Вечерние с 14 до 18 часов с 10 минутным перерывом через каждые 1,5 часа работы. Своим решением городской маслихат может определить иное время для своих заседаний.</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Время для доклада, содоклада и заключительного слова согласуется председательствующим с докладчиками:</w:t>
      </w:r>
      <w:r>
        <w:br/>
      </w:r>
      <w:r>
        <w:rPr>
          <w:rFonts w:ascii="Times New Roman"/>
          <w:b w:val="false"/>
          <w:i w:val="false"/>
          <w:color w:val="000000"/>
          <w:sz w:val="28"/>
        </w:rPr>
        <w:t>
      1) для докладов до- 45 минут;</w:t>
      </w:r>
      <w:r>
        <w:br/>
      </w:r>
      <w:r>
        <w:rPr>
          <w:rFonts w:ascii="Times New Roman"/>
          <w:b w:val="false"/>
          <w:i w:val="false"/>
          <w:color w:val="000000"/>
          <w:sz w:val="28"/>
        </w:rPr>
        <w:t>
      2) для содоклада до- 20 минут;</w:t>
      </w:r>
      <w:r>
        <w:br/>
      </w:r>
      <w:r>
        <w:rPr>
          <w:rFonts w:ascii="Times New Roman"/>
          <w:b w:val="false"/>
          <w:i w:val="false"/>
          <w:color w:val="000000"/>
          <w:sz w:val="28"/>
        </w:rPr>
        <w:t>
      3) для заключительного слова до -15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xml:space="preserve">
      </w:t>
      </w:r>
      <w:r>
        <w:rPr>
          <w:rFonts w:ascii="Times New Roman"/>
          <w:b w:val="false"/>
          <w:i w:val="false"/>
          <w:color w:val="000000"/>
          <w:sz w:val="28"/>
        </w:rPr>
        <w:t>18. В зале на сессии не допускается пользование сотовыми телефонами, радиотелефонами и другими средствами связи</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городского маслихата</w:t>
      </w:r>
    </w:p>
    <w:p>
      <w:pPr>
        <w:spacing w:after="0"/>
        <w:ind w:left="0"/>
        <w:jc w:val="left"/>
      </w:pPr>
      <w:r>
        <w:rPr>
          <w:rFonts w:ascii="Times New Roman"/>
          <w:b w:val="false"/>
          <w:i w:val="false"/>
          <w:color w:val="000000"/>
          <w:sz w:val="28"/>
        </w:rPr>
        <w:t>      19. Городской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20.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городского акимата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21. Решения маслихата, имеющие общеобязательное значение, касающиеся прав, свобод и обязанностей граждан, подлежат государственной регистрации департаментом юстиции области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22.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23.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24.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26.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27.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установленном для их принятия. </w:t>
      </w:r>
      <w:r>
        <w:br/>
      </w:r>
      <w:r>
        <w:rPr>
          <w:rFonts w:ascii="Times New Roman"/>
          <w:b w:val="false"/>
          <w:i w:val="false"/>
          <w:color w:val="000000"/>
          <w:sz w:val="28"/>
        </w:rPr>
        <w:t xml:space="preserve">
      Протоколы сессий отпечатываются не позднее чем через месяц после сессии и хранятся в установленном законодательством порядке. </w:t>
      </w:r>
      <w:r>
        <w:br/>
      </w:r>
      <w:r>
        <w:rPr>
          <w:rFonts w:ascii="Times New Roman"/>
          <w:b w:val="false"/>
          <w:i w:val="false"/>
          <w:color w:val="000000"/>
          <w:sz w:val="28"/>
        </w:rPr>
        <w:t xml:space="preserve">
      </w:t>
      </w:r>
      <w:r>
        <w:rPr>
          <w:rFonts w:ascii="Times New Roman"/>
          <w:b w:val="false"/>
          <w:i w:val="false"/>
          <w:color w:val="000000"/>
          <w:sz w:val="28"/>
        </w:rPr>
        <w:t xml:space="preserve">28. Проекты планов, программ социально-экономического развития города Жанаозен, отчетов об их исполнении, схем управления городом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 </w:t>
      </w:r>
      <w:r>
        <w:br/>
      </w:r>
      <w:r>
        <w:rPr>
          <w:rFonts w:ascii="Times New Roman"/>
          <w:b w:val="false"/>
          <w:i w:val="false"/>
          <w:color w:val="000000"/>
          <w:sz w:val="28"/>
        </w:rPr>
        <w:t xml:space="preserve">
      </w:t>
      </w:r>
      <w:r>
        <w:rPr>
          <w:rFonts w:ascii="Times New Roman"/>
          <w:b w:val="false"/>
          <w:i w:val="false"/>
          <w:color w:val="000000"/>
          <w:sz w:val="28"/>
        </w:rPr>
        <w:t>29. Проект бюджета города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w:t>
      </w:r>
      <w:r>
        <w:br/>
      </w:r>
      <w:r>
        <w:rPr>
          <w:rFonts w:ascii="Times New Roman"/>
          <w:b w:val="false"/>
          <w:i w:val="false"/>
          <w:color w:val="000000"/>
          <w:sz w:val="28"/>
        </w:rPr>
        <w:t>
      Государственное учреждение "Отдел экономики и бюджетного планирования города Жанаозен" не позднее чем за две неделии до начала сессии предоставляет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 xml:space="preserve">31. При уточнении бюджета города Жанаозен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 городского маслихата.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32. Маслихат осуществляет контроль за исполнением местного бюджета, программ развития города путем заслушивания отчетов акима города Жанаозен.</w:t>
      </w:r>
      <w:r>
        <w:br/>
      </w:r>
      <w:r>
        <w:rPr>
          <w:rFonts w:ascii="Times New Roman"/>
          <w:b w:val="false"/>
          <w:i w:val="false"/>
          <w:color w:val="000000"/>
          <w:sz w:val="28"/>
        </w:rPr>
        <w:t xml:space="preserve">
      </w:t>
      </w:r>
      <w:r>
        <w:rPr>
          <w:rFonts w:ascii="Times New Roman"/>
          <w:b w:val="false"/>
          <w:i w:val="false"/>
          <w:color w:val="000000"/>
          <w:sz w:val="28"/>
        </w:rPr>
        <w:t>33. Маслихат заслушивает на сессии отчет акима города в соответствии с Указом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xml:space="preserve">
      </w:t>
      </w:r>
      <w:r>
        <w:rPr>
          <w:rFonts w:ascii="Times New Roman"/>
          <w:b w:val="false"/>
          <w:i w:val="false"/>
          <w:color w:val="000000"/>
          <w:sz w:val="28"/>
        </w:rPr>
        <w:t>Отчет акима города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Двухкратное не утверждение маслихатом представленных акимом города отчетов об исполнении планов, экономических и социальных программ развития города, местного бюджета является основанием для рассмотрения маслихатом вопроса о выражении недоверия акиму города в соответствии со статьей 24 Закона.</w:t>
      </w:r>
      <w:r>
        <w:br/>
      </w:r>
      <w:r>
        <w:rPr>
          <w:rFonts w:ascii="Times New Roman"/>
          <w:b w:val="false"/>
          <w:i w:val="false"/>
          <w:color w:val="000000"/>
          <w:sz w:val="28"/>
        </w:rPr>
        <w:t xml:space="preserve">
      </w:t>
      </w:r>
      <w:r>
        <w:rPr>
          <w:rFonts w:ascii="Times New Roman"/>
          <w:b w:val="false"/>
          <w:i w:val="false"/>
          <w:color w:val="000000"/>
          <w:sz w:val="28"/>
        </w:rPr>
        <w:t>34.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xml:space="preserve">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 </w:t>
      </w:r>
      <w:r>
        <w:br/>
      </w: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Жанаозен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 городского маслихата</w:t>
      </w:r>
    </w:p>
    <w:p>
      <w:pPr>
        <w:spacing w:after="0"/>
        <w:ind w:left="0"/>
        <w:jc w:val="left"/>
      </w:pPr>
      <w:r>
        <w:rPr>
          <w:rFonts w:ascii="Times New Roman"/>
          <w:b w:val="false"/>
          <w:i w:val="false"/>
          <w:color w:val="000000"/>
          <w:sz w:val="28"/>
        </w:rPr>
        <w:t xml:space="preserve">      36. Депутат маслихата по вопросам, отнесенным к компетенции маслихата, обращается с официальным письменным запросом к акиму, председателю и члену городской избирательной комиссии, прокурору и должностным лицам центральных государственных органов, исполнительных органов, финансируемых из местных бюджетов. </w:t>
      </w:r>
      <w:r>
        <w:br/>
      </w: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 xml:space="preserve">40. Ответ на депутатский запрос должен быть дан в письменной форме в срок не позднее одного месяца. </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 городского маслихата, депутатские объединения маслихата</w:t>
      </w:r>
      <w:r>
        <w:br/>
      </w:r>
      <w:r>
        <w:rPr>
          <w:rFonts w:ascii="Times New Roman"/>
          <w:b/>
          <w:i w:val="false"/>
          <w:color w:val="000000"/>
        </w:rPr>
        <w:t>5.1. Председатель сессии городского маслихата</w:t>
      </w:r>
    </w:p>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xml:space="preserve">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 </w:t>
      </w:r>
      <w:r>
        <w:br/>
      </w:r>
      <w:r>
        <w:rPr>
          <w:rFonts w:ascii="Times New Roman"/>
          <w:b w:val="false"/>
          <w:i w:val="false"/>
          <w:color w:val="000000"/>
          <w:sz w:val="28"/>
        </w:rPr>
        <w:t xml:space="preserve">
      Депутат маслихата не может быть избран председателем сессии маслихата более двух раз в течение календарного года. </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xml:space="preserve">
      3) ведет заседания сессии маслихата, обеспечивает соблюдение регламента маслихата; </w:t>
      </w:r>
      <w:r>
        <w:br/>
      </w:r>
      <w:r>
        <w:rPr>
          <w:rFonts w:ascii="Times New Roman"/>
          <w:b w:val="false"/>
          <w:i w:val="false"/>
          <w:color w:val="000000"/>
          <w:sz w:val="28"/>
        </w:rPr>
        <w:t xml:space="preserve">
      4) подписывает решения маслихата, протоколы, иные документы, принятые или утвержденные на сессии маслихата. </w:t>
      </w:r>
      <w:r>
        <w:br/>
      </w:r>
      <w:r>
        <w:rPr>
          <w:rFonts w:ascii="Times New Roman"/>
          <w:b w:val="false"/>
          <w:i w:val="false"/>
          <w:color w:val="000000"/>
          <w:sz w:val="28"/>
        </w:rPr>
        <w:t>
      Председатель сессии маслихата осуществляет свои функции на не освобожденной основе.</w:t>
      </w:r>
      <w:r>
        <w:br/>
      </w:r>
      <w:r>
        <w:rPr>
          <w:rFonts w:ascii="Times New Roman"/>
          <w:b w:val="false"/>
          <w:i w:val="false"/>
          <w:color w:val="000000"/>
          <w:sz w:val="28"/>
        </w:rPr>
        <w:t xml:space="preserve">
      </w:t>
      </w:r>
      <w:r>
        <w:rPr>
          <w:rFonts w:ascii="Times New Roman"/>
          <w:b w:val="false"/>
          <w:i w:val="false"/>
          <w:color w:val="000000"/>
          <w:sz w:val="28"/>
        </w:rPr>
        <w:t xml:space="preserve">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городского маслихата</w:t>
      </w:r>
    </w:p>
    <w:p>
      <w:pPr>
        <w:spacing w:after="0"/>
        <w:ind w:left="0"/>
        <w:jc w:val="left"/>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городского маслихата</w:t>
      </w:r>
    </w:p>
    <w:p>
      <w:pPr>
        <w:spacing w:after="0"/>
        <w:ind w:left="0"/>
        <w:jc w:val="left"/>
      </w:pPr>
      <w:r>
        <w:rPr>
          <w:rFonts w:ascii="Times New Roman"/>
          <w:b w:val="false"/>
          <w:i w:val="false"/>
          <w:color w:val="000000"/>
          <w:sz w:val="28"/>
        </w:rPr>
        <w:t>      47. На срок своих полномочий городской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xml:space="preserve">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 </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комиссии маслихата</w:t>
      </w:r>
    </w:p>
    <w:p>
      <w:pPr>
        <w:spacing w:after="0"/>
        <w:ind w:left="0"/>
        <w:jc w:val="left"/>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xml:space="preserve">
      Редакционная комиссия может избираться и на очередную сессию. </w:t>
      </w:r>
      <w:r>
        <w:br/>
      </w: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городском маслихате</w:t>
      </w:r>
    </w:p>
    <w:p>
      <w:pPr>
        <w:spacing w:after="0"/>
        <w:ind w:left="0"/>
        <w:jc w:val="left"/>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 xml:space="preserve">57. Члены депутатских объединений могут: </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городского маслихата</w:t>
      </w:r>
    </w:p>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 xml:space="preserve">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r>
        <w:br/>
      </w:r>
      <w:r>
        <w:rPr>
          <w:rFonts w:ascii="Times New Roman"/>
          <w:b w:val="false"/>
          <w:i w:val="false"/>
          <w:color w:val="000000"/>
          <w:sz w:val="28"/>
        </w:rPr>
        <w:t xml:space="preserve">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xml:space="preserve">
      </w:t>
      </w:r>
      <w:r>
        <w:rPr>
          <w:rFonts w:ascii="Times New Roman"/>
          <w:b w:val="false"/>
          <w:i w:val="false"/>
          <w:color w:val="000000"/>
          <w:sz w:val="28"/>
        </w:rPr>
        <w:t>68.Аппарат маслихата:</w:t>
      </w:r>
      <w:r>
        <w:br/>
      </w:r>
      <w:r>
        <w:rPr>
          <w:rFonts w:ascii="Times New Roman"/>
          <w:b w:val="false"/>
          <w:i w:val="false"/>
          <w:color w:val="000000"/>
          <w:sz w:val="28"/>
        </w:rPr>
        <w:t>
      1) обеспечивает депутатов проектами решений и соответствующими документами по вопросам повестки дня проводимых заседаний и другой необходимой информацией;</w:t>
      </w:r>
      <w:r>
        <w:br/>
      </w:r>
      <w:r>
        <w:rPr>
          <w:rFonts w:ascii="Times New Roman"/>
          <w:b w:val="false"/>
          <w:i w:val="false"/>
          <w:color w:val="000000"/>
          <w:sz w:val="28"/>
        </w:rPr>
        <w:t>
      2) участвует на пленарных заседаниях, заседаниях постоянных комиссий и оказывает помощь депутатам в вопросах качественной подготовки проектов заключений и решений маслихата;</w:t>
      </w:r>
      <w:r>
        <w:br/>
      </w:r>
      <w:r>
        <w:rPr>
          <w:rFonts w:ascii="Times New Roman"/>
          <w:b w:val="false"/>
          <w:i w:val="false"/>
          <w:color w:val="000000"/>
          <w:sz w:val="28"/>
        </w:rPr>
        <w:t>
      3) обеспечивает подготовительную и организационно-техническую работу проведения сессий маслихата в соответствии с его регламентом;</w:t>
      </w:r>
      <w:r>
        <w:br/>
      </w:r>
      <w:r>
        <w:rPr>
          <w:rFonts w:ascii="Times New Roman"/>
          <w:b w:val="false"/>
          <w:i w:val="false"/>
          <w:color w:val="000000"/>
          <w:sz w:val="28"/>
        </w:rPr>
        <w:t>
      4) ведет учет и рассматривает письма, жалобы и заявления граждан, адресованных в маслихат, осуществляет контроль за их исполнением, в случае необходимости готовит по ним ответы;</w:t>
      </w:r>
      <w:r>
        <w:br/>
      </w:r>
      <w:r>
        <w:rPr>
          <w:rFonts w:ascii="Times New Roman"/>
          <w:b w:val="false"/>
          <w:i w:val="false"/>
          <w:color w:val="000000"/>
          <w:sz w:val="28"/>
        </w:rPr>
        <w:t>
      5) содействует депутатам маслихата в осуществлении их полномочий, оказывает консультативную и методическую помощь, контролирует своевременность рассмотрения и реализации запросов, предложений и замечаний депутатов;</w:t>
      </w:r>
      <w:r>
        <w:br/>
      </w:r>
      <w:r>
        <w:rPr>
          <w:rFonts w:ascii="Times New Roman"/>
          <w:b w:val="false"/>
          <w:i w:val="false"/>
          <w:color w:val="000000"/>
          <w:sz w:val="28"/>
        </w:rPr>
        <w:t>
      6) ведет учет и обобщение предложений и замечаний, высказываемых депутатами при осуществлении ими своих полномочий;</w:t>
      </w:r>
      <w:r>
        <w:br/>
      </w:r>
      <w:r>
        <w:rPr>
          <w:rFonts w:ascii="Times New Roman"/>
          <w:b w:val="false"/>
          <w:i w:val="false"/>
          <w:color w:val="000000"/>
          <w:sz w:val="28"/>
        </w:rPr>
        <w:t>
      7) ведет учет предложений государственных и негосударственных организаций, организует встречи депутатов с представителями этих организаций и другими заинтересованными лицами;</w:t>
      </w:r>
      <w:r>
        <w:br/>
      </w:r>
      <w:r>
        <w:rPr>
          <w:rFonts w:ascii="Times New Roman"/>
          <w:b w:val="false"/>
          <w:i w:val="false"/>
          <w:color w:val="000000"/>
          <w:sz w:val="28"/>
        </w:rPr>
        <w:t>
      8) организует заседания постоянных комиссий, предварительное обсуждение в постоянных комиссиях вопросов, вносимых на сессии маслихата, обеспечивает необходимыми материалами;</w:t>
      </w:r>
      <w:r>
        <w:br/>
      </w:r>
      <w:r>
        <w:rPr>
          <w:rFonts w:ascii="Times New Roman"/>
          <w:b w:val="false"/>
          <w:i w:val="false"/>
          <w:color w:val="000000"/>
          <w:sz w:val="28"/>
        </w:rPr>
        <w:t>
      9) осуществляет подготовку нормативных правовых актов маслихата, обеспечивает их направление в органы юстиции для государственной регистрации;</w:t>
      </w:r>
      <w:r>
        <w:br/>
      </w:r>
      <w:r>
        <w:rPr>
          <w:rFonts w:ascii="Times New Roman"/>
          <w:b w:val="false"/>
          <w:i w:val="false"/>
          <w:color w:val="000000"/>
          <w:sz w:val="28"/>
        </w:rPr>
        <w:t>
      10) обеспечивает официальное опубликование нормативных правовых актов маслихата, прошедших государственную регистрацию в органах юстиции, в печатных изданиях, получивших право официального опубликования в порядке, установленном действующим законодательством;</w:t>
      </w:r>
      <w:r>
        <w:br/>
      </w:r>
      <w:r>
        <w:rPr>
          <w:rFonts w:ascii="Times New Roman"/>
          <w:b w:val="false"/>
          <w:i w:val="false"/>
          <w:color w:val="000000"/>
          <w:sz w:val="28"/>
        </w:rPr>
        <w:t>
      11) обеспечивает рассылку решений и других документов маслихата;</w:t>
      </w:r>
      <w:r>
        <w:br/>
      </w:r>
      <w:r>
        <w:rPr>
          <w:rFonts w:ascii="Times New Roman"/>
          <w:b w:val="false"/>
          <w:i w:val="false"/>
          <w:color w:val="000000"/>
          <w:sz w:val="28"/>
        </w:rPr>
        <w:t>
      12) ведет протоколы, стенограммы сессий и других заседаний маслихата.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