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2a6e8e" w14:textId="c2a6e8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карантина на территории Талдинского сельского округа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Шетского района Карагандинской области от 22 мая 2014 года № 10/01. Зарегистрировано Департаментом юстиции Карагандинской области 26 мая 2014 года № 2651. Утратило силу постановлением акимата Шетского района Карагандинской области от 14 июля 2014 года № 16/03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Сноска. Утратило силу постановлением акимата Шетского района Карагандинской области от 14.07.2014 № 16/03.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) пункта 2 статьи 10 Закона Республики Казахстан от 10 июля 2002 года "О ветеринарии", </w:t>
      </w:r>
      <w:r>
        <w:rPr>
          <w:rFonts w:ascii="Times New Roman"/>
          <w:b w:val="false"/>
          <w:i w:val="false"/>
          <w:color w:val="000000"/>
          <w:sz w:val="28"/>
        </w:rPr>
        <w:t>подпунктом 18</w:t>
      </w:r>
      <w:r>
        <w:rPr>
          <w:rFonts w:ascii="Times New Roman"/>
          <w:b w:val="false"/>
          <w:i w:val="false"/>
          <w:color w:val="000000"/>
          <w:sz w:val="28"/>
        </w:rPr>
        <w:t xml:space="preserve">) пункта 1 статьи 31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28 апреля 2003 года № 407 "Об утверждении нормативных правовых актов в области ветеринарии", акимат Шетского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В связи с возникновением болезни Ньюкасла среди птиц, установить карантин на территории Талдинского сельского округа.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Государственному учреждению "Отдел сельского хозяйства и ветеринарии Шетского района" в целях недопущения распространения заразного заболевания птиц, достижения ветеринарно-санитарного благополучия в эпизоотическом очаге и неблагополучном пункте, провести необходимые ветеринарные мероприятия,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статьей 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"О ветеринарии".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Рекомендовать руководителю государственного учреждения "Шетская районная территориальная инспекция Комитета ветеринарного контроля и надзора Министерства сельского хозяйства Республики Казахстан" (Рахимжанов А. по согласованию) обеспечить выполнение мероприятий по карантину,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статьей 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"О ветеринарии".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Контроль за выполнением данного постановления возложить на заместителя акима района Жунус Шокан Камеловича.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Настоящее постановление вводится в действие со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02"/>
        <w:gridCol w:w="4398"/>
      </w:tblGrid>
      <w:tr>
        <w:trPr>
          <w:trHeight w:val="30" w:hRule="atLeast"/>
        </w:trPr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Аким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Шетского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Абдикеров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"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Шетская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территориальная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инспекция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Комитета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ветеринарного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контроля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надзора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азахстан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Рахымжанов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22 мая 2014 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