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56b2" w14:textId="96756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 сессии Жанааркинского районного маслихата от 25 декабря 2013 года № 25/158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XХХIV сессии Жанааркинского районного маслихата Карагандинской области от 10 сентября 2014 года № 34/224. Зарегистрировано Департаментом юстиции Карагандинской области 23 сентября 2014 года № 2765.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 сессии Жанааркинского районного маслихата от 25 декабря 2013 года № 25/158 "О районном бюджете на 2014-2016 годы" (зарегистрировано в Реестре государственной регистрации нормативных правовых актов за № 2499, опубликовано в газете "Жаңаарқа" от 18 января 2014 года № 2-3 (9596-9597))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"3 776 717" заменить цифрами "3 725 399";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"922 656" заменить цифрами "880 809";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"3 921" заменить цифрами "18 164";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"2 512" заменить цифрами "116";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"2 847 628" заменить цифрами "2 826 310";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"3 816 186" заменить цифрами "3 764 868";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"19 353" заменить цифрами "32 461";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"28 562" заменить цифрами "41 670";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"минус 58 822" заменить цифрами "минус 71 930";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"58 822" заменить цифрами "71 930";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"28 562" заменить цифрами "41 670";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"924 785" заменить цифрами "903 467";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"28 562" заменить цифрами "41 670";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68"/>
        <w:gridCol w:w="2132"/>
      </w:tblGrid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XXXIV внеочередной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Абюров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руководителя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"Отдела экономики и финансов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21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Жылкибаев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сентября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3764868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1589340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-71930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района на 2014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выделенные Жанааркинскому району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7039"/>
        <w:gridCol w:w="3727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903467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242385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632520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516523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467266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</w:t>
      </w:r>
      <w:r>
        <w:br/>
      </w:r>
      <w:r>
        <w:rPr>
          <w:rFonts w:ascii="Times New Roman"/>
          <w:b/>
          <w:i w:val="false"/>
          <w:color w:val="000000"/>
        </w:rPr>
        <w:t>сельского округа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санитарии населенных пунктов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ХХХIV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2014 года № 34/224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