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f47e9" w14:textId="81f47e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охранной зоны республиканского государственного учреждения "Каркаралинский государственный национальный природный парк"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15 июля 2014 года № 35/01. Зарегистрировано Департаментом юстиции Карагандинской области 13 августа 2014 года № 2716. Утратило силу постановлением акимата Карагандинской области от 4 августа 2026 года № 52/01</w:t>
      </w:r>
    </w:p>
    <w:p>
      <w:pPr>
        <w:spacing w:after="0"/>
        <w:ind w:left="0"/>
        <w:jc w:val="both"/>
      </w:pPr>
      <w:bookmarkStart w:name="z59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Карагандинской области от 04.08.2026 </w:t>
      </w:r>
      <w:r>
        <w:rPr>
          <w:rFonts w:ascii="Times New Roman"/>
          <w:b w:val="false"/>
          <w:i w:val="false"/>
          <w:color w:val="ff0000"/>
          <w:sz w:val="28"/>
        </w:rPr>
        <w:t>№ 52/01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Земельным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июня 2003 года,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июля 2006 года "Об особо охраняемых природных территориях",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Казахстан", в целях обеспечения особой охраны и защиты республиканского государственного учреждения "Каркаралинский государственный национальный природный парк" от неблагоприятного внешнего воздействия акимат Карагандинской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Установить:</w:t>
      </w:r>
    </w:p>
    <w:bookmarkEnd w:id="2"/>
    <w:bookmarkStart w:name="z6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охранную зону вокруг границы республиканского государственного учреждения "Каркаралинский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 (далее – национальный парк) шириной не менее двух километров, общей площадью 138917 гектар, без изъятия у собственников земельных участков и землепользователей и без изменения категории земель;</w:t>
      </w:r>
    </w:p>
    <w:bookmarkEnd w:id="3"/>
    <w:bookmarkStart w:name="z53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границу охранной зоны по периметру границы национального парка;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режим и 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природопользования на территории охранной зоны национального парка.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– в редакции постановления акимата Карагандинской области от 12.11.2021 </w:t>
      </w:r>
      <w:r>
        <w:rPr>
          <w:rFonts w:ascii="Times New Roman"/>
          <w:b w:val="false"/>
          <w:i w:val="false"/>
          <w:color w:val="000000"/>
          <w:sz w:val="28"/>
        </w:rPr>
        <w:t>№ 81/01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области.</w:t>
      </w:r>
    </w:p>
    <w:bookmarkEnd w:id="5"/>
    <w:bookmarkStart w:name="z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Абдибеков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июля 2014 года № 35/01</w:t>
            </w:r>
          </w:p>
        </w:tc>
      </w:tr>
    </w:tbl>
    <w:bookmarkStart w:name="z6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и порядок природопользования на территории охранной зоны государственного учреждения "Каркаралинский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</w:t>
      </w:r>
    </w:p>
    <w:bookmarkEnd w:id="7"/>
    <w:bookmarkStart w:name="z6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акимата Карагандинской области от 12.11.2021 </w:t>
      </w:r>
      <w:r>
        <w:rPr>
          <w:rFonts w:ascii="Times New Roman"/>
          <w:b w:val="false"/>
          <w:i w:val="false"/>
          <w:color w:val="ff0000"/>
          <w:sz w:val="28"/>
        </w:rPr>
        <w:t>№ 81/01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</w:p>
    <w:bookmarkEnd w:id="8"/>
    <w:bookmarkStart w:name="z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охранной зоне республиканского государственного учреждения "Каркаралинский государственный национальный природный парк" Комитета лесного хозяйства и животного мира Министерства экологии, геологии и природных ресурсов Республики Казахстан (далее – национальный парк) разрешаются основные виды традиционной хозяйственной деятельности землепользователей, обеспечивающие устойчивое использование природных ресурсов.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1 – в редакции постановления акимата Карагандинской области от 12.11.2021 </w:t>
      </w:r>
      <w:r>
        <w:rPr>
          <w:rFonts w:ascii="Times New Roman"/>
          <w:b w:val="false"/>
          <w:i w:val="false"/>
          <w:color w:val="000000"/>
          <w:sz w:val="28"/>
        </w:rPr>
        <w:t>№ 81/01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охранной зоне национального парка не допускается:</w:t>
      </w:r>
    </w:p>
    <w:bookmarkEnd w:id="10"/>
    <w:bookmarkStart w:name="z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создание новых и расширение существующих населенных пунктов;</w:t>
      </w:r>
    </w:p>
    <w:bookmarkEnd w:id="11"/>
    <w:bookmarkStart w:name="z1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размещение, проектирование, строительство и эксплуатация объектов, внедрение новых технологий, оказывающих вредное воздействие на экологические системы национального парка;</w:t>
      </w:r>
    </w:p>
    <w:bookmarkEnd w:id="12"/>
    <w:bookmarkStart w:name="z1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ведение интенсивных форм сельского и лесного хозяйства с применением токсичных для растительного и животного мира пестицидов, ядохимикатов и удобрений;</w:t>
      </w:r>
    </w:p>
    <w:bookmarkEnd w:id="13"/>
    <w:bookmarkStart w:name="z1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выброс в атмосферу и сброс в открытые водные источники и на рельеф загрязняющих веществ и сточных вод, размещение отходов;</w:t>
      </w:r>
    </w:p>
    <w:bookmarkEnd w:id="14"/>
    <w:bookmarkStart w:name="z1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добыча полезных ископаемых;</w:t>
      </w:r>
    </w:p>
    <w:bookmarkEnd w:id="15"/>
    <w:bookmarkStart w:name="z1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любительская (спортивная) и промысловая охота;</w:t>
      </w:r>
    </w:p>
    <w:bookmarkEnd w:id="16"/>
    <w:bookmarkStart w:name="z1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захоронение радиоактивных материалов и промышленных отходов;</w:t>
      </w:r>
    </w:p>
    <w:bookmarkEnd w:id="17"/>
    <w:bookmarkStart w:name="z1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деятельность, способная изменить гидрологический режим экологических систем национального парка (строительство плотин, дамб, гидротехнических сооружений и других объектов, приводящих к прекращению или снижению естественного стока вод);</w:t>
      </w:r>
    </w:p>
    <w:bookmarkEnd w:id="18"/>
    <w:bookmarkStart w:name="z1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интродукция чужеродных видов диких животных и дикорастущих растений;</w:t>
      </w:r>
    </w:p>
    <w:bookmarkEnd w:id="19"/>
    <w:bookmarkStart w:name="z1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другая деятельность, способная оказывать вредное воздействие на экологические системы национального парка.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2 с изменениями, внесенным постановлением акимата Карагандинской области от 12.11.2021 </w:t>
      </w:r>
      <w:r>
        <w:rPr>
          <w:rFonts w:ascii="Times New Roman"/>
          <w:b w:val="false"/>
          <w:i w:val="false"/>
          <w:color w:val="000000"/>
          <w:sz w:val="28"/>
        </w:rPr>
        <w:t>№ 81/01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территории охранной зоны национального парка могут осуществляться различные формы хозяйственной деятельности, не оказывающие негативного воздействия на состояние экологических систем национального парка:</w:t>
      </w:r>
    </w:p>
    <w:bookmarkEnd w:id="21"/>
    <w:bookmarkStart w:name="z2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лесохозяйственная деятельность;</w:t>
      </w:r>
    </w:p>
    <w:bookmarkEnd w:id="22"/>
    <w:bookmarkStart w:name="z2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традиционное землепользование, включая пастьбу скота и сенокошение, а также иная деятельность в рамках обеспечения долговременной сохранности и неуязвимости биологического разнообразия; </w:t>
      </w:r>
    </w:p>
    <w:bookmarkEnd w:id="23"/>
    <w:bookmarkStart w:name="z2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туристская и рекреационная деятельность;</w:t>
      </w:r>
    </w:p>
    <w:bookmarkEnd w:id="24"/>
    <w:bookmarkStart w:name="z2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использование минеральных вод, бальнеологических и климатических ресурсов;</w:t>
      </w:r>
    </w:p>
    <w:bookmarkEnd w:id="25"/>
    <w:bookmarkStart w:name="z2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промысловое и любительское (спортивное) рыболовство;</w:t>
      </w:r>
    </w:p>
    <w:bookmarkEnd w:id="26"/>
    <w:bookmarkStart w:name="z2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проведение наземных и авиационных работ по тушению лесных и степных пожаров;</w:t>
      </w:r>
    </w:p>
    <w:bookmarkEnd w:id="27"/>
    <w:bookmarkStart w:name="z2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рекультивация нарушенных земель;</w:t>
      </w:r>
    </w:p>
    <w:bookmarkEnd w:id="28"/>
    <w:bookmarkStart w:name="z2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восстановление лесных и иных растительных сообществ;</w:t>
      </w:r>
    </w:p>
    <w:bookmarkEnd w:id="29"/>
    <w:bookmarkStart w:name="z2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восстановление среды обитания и численности диких животных;</w:t>
      </w:r>
    </w:p>
    <w:bookmarkEnd w:id="30"/>
    <w:bookmarkStart w:name="z2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использование земельных участков для обустройства мест пребывания туристов, устройства питомников для искусственного размножения, выращивания, разведения эндемичных, редких и исчезающих видов растений и животных, а также для строительства служебных зданий (кордонов) для проживания работников национального парка, предоставления им служебных земельных наделов. </w:t>
      </w:r>
    </w:p>
    <w:bookmarkEnd w:id="31"/>
    <w:bookmarkStart w:name="z3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охранной зоне национального парка при осуществлении видов деятельности, выше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, должны предусматриваться и осуществляться мероприятия по сохранению среды обитания и условий размножения объектов животного и растительного мира, путей миграции и мест концентрации животных, обеспечиваться неприкосновенность участков, представляющих особую ценность в качестве среды обитания диких животных, а также иных объектов национального парка.</w:t>
      </w:r>
    </w:p>
    <w:bookmarkEnd w:id="3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