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0e1e" w14:textId="6540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города Каратау Таласского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27 октября 2014 года № 395. Зарегистрировано Департаментом юстиции Жамбылской области 28 ноября 2014 года № 2398. Утратило силу постановлением акимата Таласского района Жамбылской области от 24 августа 2017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24.08.2017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"О местном государственном управлении и самоуправлении в Республике Казахстан"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 города Каратау Таласского района" согласно приложению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Таласского района № 401 от 27 ноября 2012 года "Об утверждении Положений коммунальных государственных учреждений акимата района и коммунального государственного учреждения "Аппарат акима Таласского района".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Учреждению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Ширшинбаева Галымжана Алимкуловича.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коммунального государственного учреждения "Аппарат акима города Каратау Таласского района"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города Каратау Таласского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акима города Каратау Таласского района" не имеет ведомств.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"Аппарат акима города Каратау Таласского района" (далее – Государственное учреждение)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своего имени, если оно уполномочено на это в соответствии с законодательством.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нахождение юридического лица: 080800, Республика Казахстан, Жамбылская область, Таласский район, город Каратау, улица Шейна, № 47.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- Коммунальное государственное учреждение "Аппарат акима города Каратау Таласского района".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государственного учреждения.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осуществляется из местного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Миссия, основные задачи, функции, права и обязанности государственного органа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государственного учреждения: осуществление информационно-аналитического, организационно-правового и материально-технического обеспечения.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документов информационного и аналитического характера для акима района;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актов Президента, Правительства Республики Казахстан, акима области, акима района;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государственное учреждение;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содействуют сбору налогов и других обязательных платежей в бюджет;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законодательством.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осуществляет регулирование земельных отношений;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сохранение государственного жилищного фонда города районного значения, а также строительство, реконструкцию, ремонт и содержание автомобильных дорог в городах районного значения;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трудоустройство лиц, состояших на учете в службе пробации уголовно-исполнительной инспекции и оказывает иную социально-правовую помощь;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содействует развитию местной социальной инфраструктуры;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пределах своей компетенции водоснабжение города и регулирует вопросы водопользования;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работы по благоустройству, освещению, озеленению и санитарной очистке города;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ведет реестр непрофессиональных медиаторов;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разрабатывает проекты актов акима города;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обеспечивает пресс-конференции акима города с участием средств массовой информации;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ежеквартального плана работы государственного учреждения.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готовить и предоставлять в пределах своих полномочий государственным органам, общественным и другим учреждениям, средствам массовой информации информационно-аналитические документы;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 и документы от местных исполнительных органов, предприятий, организации и других учреждений.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органа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осуществляется первым руководителем, который несет персональную ответственность за выполнение возложенных на государственное учреждение и осуществление им своих функций.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Аким города назначается и освобождается от должности в соответствии с законодательством Республики Казахстан.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акима города: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действующим законодательством назначает на должность и освобождает от должности сотрудников государственного учреждения;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поощряет сотрудников государственного учреждения и налагает на них дисциплинарные взыскания;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полномочия и обязанности сотрудников государственного учреждения, утверждает их функциональные обязанности;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должностным лицом соответствующего государственного учреждения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несет персональную ответственность за исполнение антикоррупционного законодательства;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органа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может иметь на праве оперативного управления обособленное имущество. Имущество государственного учреждения формируется за счет имущества, переданного ему собственником, а также имущества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государственным учреждением, относится к коммунальной собственности.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не вправе самостоятельно отчуждать или иным способом распоряжаться закрепленным за ним имуществом.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органа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коммунального государственного учреждения "Аппарат акима города Каратау Таласского района" осуществляется в соответствии с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