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7b04" w14:textId="1397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области и руководителей областных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октября 2014 года № 285. Зарегистрировано Департаментом юстиции Жамбылской области 28 ноября 2014 года № 2397. Утратило силу постановлением акимата Жамбылской области от 5 мая 2015 года №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дейчствие по истечении 10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Правилами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области и руководителей областных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Отделу управления персоналом аппарата акима области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руководителя аппарата акима области Рахманбердиева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2014 года № 285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 служащих корпуса "Б" аппарата акима области и руководителей областных исполнительных органов,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аппарата акима области и руководителей областных исполнительных органов, финансируемых из местного бюджета (далее -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акима области и руководителей областных исполнительных органов, финансируемых из местного бюджета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</w:t>
      </w:r>
      <w:r>
        <w:rPr>
          <w:rFonts w:ascii="Times New Roman"/>
          <w:b w:val="false"/>
          <w:i w:val="false"/>
          <w:color w:val="000000"/>
          <w:sz w:val="28"/>
        </w:rPr>
        <w:t>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руководителей областных исполнительных органов, финансируемых из местного бюджета, оценка проводится акимом области либо по его уполномочию одним из его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служащим двух оценок "неудовлетворительно" в течение последних трех лет является основанием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для руководителей областных исполнительных органов, финансируемых из местного бюджета и заместителей руководителя аппарата акима области является первый заместитель акима области, а для сотрудников аппарата акима области руководитель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управления персоналом аппарата акима области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формирует график проведения оценки по согласованию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уведомляет служащего, подлежащего оценке, а также лиц, указанных в подпунктах 1) и 2) пункт 4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по форме согласно приложению 1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пункте 14 настоящей Методики, заполняют оценочный лист по форме согласно приложению 2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 </w:t>
      </w:r>
      <w:r>
        <w:rPr>
          <w:rFonts w:ascii="Times New Roman"/>
          <w:b w:val="false"/>
          <w:i w:val="false"/>
          <w:color w:val="000000"/>
          <w:sz w:val="28"/>
        </w:rPr>
        <w:t>Оценочные листы, заполненные лицами, указанными в пункте 14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осуществляет расчет средней оценки лиц, указанных в пункте 14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 </w:t>
      </w:r>
      <w:r>
        <w:rPr>
          <w:rFonts w:ascii="Times New Roman"/>
          <w:b w:val="false"/>
          <w:i w:val="false"/>
          <w:color w:val="000000"/>
          <w:sz w:val="28"/>
        </w:rPr>
        <w:t>Оценка лицами, указанных в пункте 14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 пункте 14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до 33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проведение заседания Комиссии по рассмотрению результатов оценки в соответствии с графиком, указанным в пункте 12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</w:t>
      </w:r>
      <w:r>
        <w:rPr>
          <w:rFonts w:ascii="Times New Roman"/>
          <w:b w:val="false"/>
          <w:i w:val="false"/>
          <w:color w:val="000000"/>
          <w:sz w:val="28"/>
        </w:rPr>
        <w:t>проект протокола заседания Комиссии с указанием итоговой оценки по форме согласно приложению 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оценки вносятся в послужные списки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пункте 21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форма</w:t>
            </w:r>
          </w:p>
        </w:tc>
      </w:tr>
    </w:tbl>
    <w:bookmarkStart w:name="z8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оцениваемого служащего: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4"/>
        <w:gridCol w:w="2744"/>
        <w:gridCol w:w="3353"/>
        <w:gridCol w:w="1914"/>
        <w:gridCol w:w="771"/>
        <w:gridCol w:w="774"/>
      </w:tblGrid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ежегодной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форма</w:t>
            </w:r>
          </w:p>
        </w:tc>
      </w:tr>
    </w:tbl>
    <w:bookmarkStart w:name="z1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ежегодной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форма</w:t>
            </w:r>
          </w:p>
        </w:tc>
      </w:tr>
    </w:tbl>
    <w:bookmarkStart w:name="z1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4548"/>
        <w:gridCol w:w="2650"/>
        <w:gridCol w:w="1701"/>
        <w:gridCol w:w="1701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Провереноfs24: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