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2181" w14:textId="8dc2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сентября 2014 года № 251. Зарегистрировано Департаментом юстиции Жамбылской области 31 октября 2014 года № 2357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 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объемы субсидий (в зависимости от прогнозной структуры посевных площадей приоритетных культур)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для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защищенном грунте;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стоимости затрат на закладку и выращивание (в том числе восстановление)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стоимости удобрений (за исключением органических);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>стоимости гербицидов, предназначенных для обработки сельскохозяйственных культур в целях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«Управление сельского хозяйства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2014 года № 251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на 2014 год для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защищенном грунте (в зависимости от прогнозной структуры посевных площадей приоритетных культур)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518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2014 года № 251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субсидии 2014 года для возмещения стоимости затрат на закладку и выращивание (в том числе восстановление) многолетних насаждений плодово-ягодных культур и винограда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2014 года № 251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субсидирования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 на 2014 год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2014 года № 251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стоимости гербицидов на 2014 год, предназначенных для обработки сельскохозяйственных культур в целях защиты растений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