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86ecf" w14:textId="5f86e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 новой редакции регламента государственной услуги "Учет иностранных периодических печатных изданий, распространяемых на территории Жамбылской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28 августа 2014 года № 229. Зарегистрировано Департаментом юстиции Жамбылской области 8 октября 2014 года № 2341. Утратило силу постановлением акимата Жамбылской области от 25 июня 2015 года № 137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Жамбылской области от 25.06.2015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в новой редакции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"Учет иностранных периодических печатных изданий, распространяемых на территории Жамбылской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 </w:t>
      </w:r>
      <w:r>
        <w:rPr>
          <w:rFonts w:ascii="Times New Roman"/>
          <w:b w:val="false"/>
          <w:i w:val="false"/>
          <w:color w:val="000000"/>
          <w:sz w:val="28"/>
        </w:rPr>
        <w:t>Коммунальному государственному учреждению "Управление внутренней политики акимата Жамбылской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 </w:t>
      </w:r>
      <w:r>
        <w:rPr>
          <w:rFonts w:ascii="Times New Roman"/>
          <w:b w:val="false"/>
          <w:i w:val="false"/>
          <w:color w:val="000000"/>
          <w:sz w:val="28"/>
        </w:rPr>
        <w:t>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 </w:t>
      </w:r>
      <w:r>
        <w:rPr>
          <w:rFonts w:ascii="Times New Roman"/>
          <w:b w:val="false"/>
          <w:i w:val="false"/>
          <w:color w:val="000000"/>
          <w:sz w:val="28"/>
        </w:rPr>
        <w:t>размещение настоящего постановления на интернет-ресурсе акимата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постановление акимата Жамбылской области от 27 марта 2012 года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"Учет иностранных периодических печатных изданий, распространяемых на территории Жамбылской области" (зарегистрировано в Реестре государственной регистрации нормативных правовых актов за № 2206, опубликовано 13 мая 2014 года в газетах "Знамя труда" № 49 (17922) и "Ақ жол" № 68-69 (17925-17926).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первого заместителя акима области Орынбекова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2014 года № 229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Регламент государственной услуги "Учет иностранных периодических печатных изданий, распространяемых на территории Жамбылской области"</w:t>
      </w: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"Учет иностранных периодических печатных изданий, распространяемых на территории Жамбылской области" (далее – государственная услуга) оказывается коммунальным государственным учреждением "Управление внутренней политики акимата Жамбылской области"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"Учет иностранных периодических печатных изданий, распространяемых на территории области, города республиканского значения, столицы", утвержденного постановлением Правительства Республики Казахстан от 5 марта 2014 года № 180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оказывается на бесплатной основе физическим и юридическим лицам (далее -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 </w:t>
      </w:r>
      <w:r>
        <w:rPr>
          <w:rFonts w:ascii="Times New Roman"/>
          <w:b w:val="false"/>
          <w:i w:val="false"/>
          <w:color w:val="000000"/>
          <w:sz w:val="28"/>
        </w:rPr>
        <w:t>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 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Республиканское государственное предприятие на праве хозяйственного ведения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коммуникации Республики Казахстан (далее – Центр обслуживания населения);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 </w:t>
      </w:r>
      <w:r>
        <w:rPr>
          <w:rFonts w:ascii="Times New Roman"/>
          <w:b w:val="false"/>
          <w:i w:val="false"/>
          <w:color w:val="000000"/>
          <w:sz w:val="28"/>
        </w:rPr>
        <w:t>веб-портал "электронного правительства"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 </w:t>
      </w:r>
      <w:r>
        <w:rPr>
          <w:rFonts w:ascii="Times New Roman"/>
          <w:b w:val="false"/>
          <w:i w:val="false"/>
          <w:color w:val="000000"/>
          <w:sz w:val="28"/>
        </w:rPr>
        <w:t>Результат оказания государственной услуги – справка об учете иностранных периодических печатных изданий, распространяемых на территории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 предоставления результата оказания государственной услуги: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обращения за получением справки на бумажном носителе, результат оказания государственной услуги оформляется в электронном формате, распечатывается и заверяется печатью и подписью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действий структурных подразделений (работников) услугодателя в процессе 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4.  </w:t>
      </w:r>
      <w:r>
        <w:rPr>
          <w:rFonts w:ascii="Times New Roman"/>
          <w:b w:val="false"/>
          <w:i w:val="false"/>
          <w:color w:val="000000"/>
          <w:sz w:val="28"/>
        </w:rPr>
        <w:t>Основанием для начала процедуры (действия) по оказанию государственной услуги является получение услугодателем документов услугополучателя, необходимых для оказания государственной услуги (далее – документы).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 </w:t>
      </w:r>
      <w:r>
        <w:rPr>
          <w:rFonts w:ascii="Times New Roman"/>
          <w:b w:val="false"/>
          <w:i w:val="false"/>
          <w:color w:val="000000"/>
          <w:sz w:val="28"/>
        </w:rPr>
        <w:t>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 </w:t>
      </w:r>
      <w:r>
        <w:rPr>
          <w:rFonts w:ascii="Times New Roman"/>
          <w:b w:val="false"/>
          <w:i w:val="false"/>
          <w:color w:val="000000"/>
          <w:sz w:val="28"/>
        </w:rPr>
        <w:t>сотрудник услугодателя осуществляет прием заявления, представленных услугополучателем, их регистрацию и осуществляет выдачу копии заявления с отметкой о регистрации у услугодателя с указанием даты и времени приема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Передает заявления руководителю услугодателя для наложения визы (15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- копия заявления услугополучателя с отметкой о регистрации, с указанием даты и времени приема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 определяет ответственного исполнителя, налагает соответствующую визу (2 часа).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- виза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 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услугодателя рассматривает заявление на соответствие предъявляемым требованиям и подготавливает проект результата оказания государственной услуги (8 рабочих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- проект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 принимает решение и подписывает проект результата оказания государственной услуги (1 рабочий день).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подписанный результат оказания госдарственной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 </w:t>
      </w:r>
      <w:r>
        <w:rPr>
          <w:rFonts w:ascii="Times New Roman"/>
          <w:b w:val="false"/>
          <w:i w:val="false"/>
          <w:color w:val="000000"/>
          <w:sz w:val="28"/>
        </w:rPr>
        <w:t>сотрудник услугодателя выдает результат оказания государственной услуги услугополучателю (15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выданный результат оказания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6.  </w:t>
      </w:r>
      <w:r>
        <w:rPr>
          <w:rFonts w:ascii="Times New Roman"/>
          <w:b w:val="false"/>
          <w:i w:val="false"/>
          <w:color w:val="000000"/>
          <w:sz w:val="28"/>
        </w:rPr>
        <w:t>В процессе оказания государственной услуги участвуют: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 </w:t>
      </w:r>
      <w:r>
        <w:rPr>
          <w:rFonts w:ascii="Times New Roman"/>
          <w:b w:val="false"/>
          <w:i w:val="false"/>
          <w:color w:val="000000"/>
          <w:sz w:val="28"/>
        </w:rPr>
        <w:t>сотрудник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 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 </w:t>
      </w:r>
      <w:r>
        <w:rPr>
          <w:rFonts w:ascii="Times New Roman"/>
          <w:b w:val="false"/>
          <w:i w:val="false"/>
          <w:color w:val="000000"/>
          <w:sz w:val="28"/>
        </w:rPr>
        <w:t>Описание последовательности процедур (действий) между структурными подразделениями (работниками), длительность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 </w:t>
      </w:r>
      <w:r>
        <w:rPr>
          <w:rFonts w:ascii="Times New Roman"/>
          <w:b w:val="false"/>
          <w:i w:val="false"/>
          <w:color w:val="000000"/>
          <w:sz w:val="28"/>
        </w:rPr>
        <w:t>сотрудник услугодателя после осуществления приема пакета документов, их регистрации и выдачи услугополучателю копии заявления о регистрации пакета документов (15 минут) передает пакет документов руководителю услугодателя для наложения визы (15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 ознакамливается с пакетом документов и передает с соответствующей визой ответственному исполнителю услугодателя (2 часа);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 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услугодателя изучает пакет документов передает проект результата оказания государственной услуги руководителю услугодателя для принятия решения (8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 принимает соответствующее решение, передает результат оказания государственной услуги сотруднику услугодателя (1 рабочий день);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 </w:t>
      </w:r>
      <w:r>
        <w:rPr>
          <w:rFonts w:ascii="Times New Roman"/>
          <w:b w:val="false"/>
          <w:i w:val="false"/>
          <w:color w:val="000000"/>
          <w:sz w:val="28"/>
        </w:rPr>
        <w:t>сотрудник услугодателя выдает результат оказания государственной услуги услугополучателю (15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Блок-схема действий при взаимодействии структурных подразделений (работников) услугодателей при оказании государственной услуги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8.  </w:t>
      </w:r>
      <w:r>
        <w:rPr>
          <w:rFonts w:ascii="Times New Roman"/>
          <w:b w:val="false"/>
          <w:i w:val="false"/>
          <w:color w:val="000000"/>
          <w:sz w:val="28"/>
        </w:rPr>
        <w:t>Описание порядка обращения в центр обслуживания населения,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работник центра обслуживания населения в течении 15 минут производит регистрацию заявления и иных документов услугополучателя, необходимые для оказания государственной услуги, и направляет услугодателю в форме электронных копий документов посредством информационной системы, удостоверенных электронной цифровой подписью работника центра обслуживания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Максимальное допустимое время ожидания для сдачи пакета документов в центре обслуживания населения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Максимальное допустимое время обслуживания услугополучателя в Центре обслуживания населения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документов, необходимых для оказания государственной услуги указан в пункте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Описание действий работников центра обслуживания населения при регистрации и обработке запроса услугополучателя в интегрированной информационной системе центров обслуживания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 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 государственной услуги подает необходимые документы и заявление оператору центра обслуживания населения согласно приложению к Стандарту, которое осуществляется в операционном зале посредством "безбарьерного" обслуживания путем электронной очереди;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 </w:t>
      </w:r>
      <w:r>
        <w:rPr>
          <w:rFonts w:ascii="Times New Roman"/>
          <w:b w:val="false"/>
          <w:i w:val="false"/>
          <w:color w:val="000000"/>
          <w:sz w:val="28"/>
        </w:rPr>
        <w:t>процесс 1 – ввод оператора центра обслуживания населения в автоматизированное рабочее место интегрированной информационной системы центр обслуживания населения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 </w:t>
      </w:r>
      <w:r>
        <w:rPr>
          <w:rFonts w:ascii="Times New Roman"/>
          <w:b w:val="false"/>
          <w:i w:val="false"/>
          <w:color w:val="000000"/>
          <w:sz w:val="28"/>
        </w:rPr>
        <w:t>процесс 2 – выбор оператором центра обслуживания населения, вывод на экран формы запроса для оказания услуги и ввод оператором центра обслуживания населения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доверенности-данные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 </w:t>
      </w:r>
      <w:r>
        <w:rPr>
          <w:rFonts w:ascii="Times New Roman"/>
          <w:b w:val="false"/>
          <w:i w:val="false"/>
          <w:color w:val="000000"/>
          <w:sz w:val="28"/>
        </w:rPr>
        <w:t>процесс 3 – направление запроса через шлюз электронного правительства в государственную база данных физических лиц/ государственную базу данных юридических лиц о данных услугополучателя, а также в единую нотариальную информационную систему – о данных доверенности представителя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 </w:t>
      </w:r>
      <w:r>
        <w:rPr>
          <w:rFonts w:ascii="Times New Roman"/>
          <w:b w:val="false"/>
          <w:i w:val="false"/>
          <w:color w:val="000000"/>
          <w:sz w:val="28"/>
        </w:rPr>
        <w:t>условие 1 – проверка наличия данных услугополучателя в государственной базе данных физических лиц/государственной базе данных юридических лиц, данных доверенности в единой нотариальной информационной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 </w:t>
      </w:r>
      <w:r>
        <w:rPr>
          <w:rFonts w:ascii="Times New Roman"/>
          <w:b w:val="false"/>
          <w:i w:val="false"/>
          <w:color w:val="000000"/>
          <w:sz w:val="28"/>
        </w:rPr>
        <w:t>процесс 4 – формирование сообщения о невозможности получения данных в связи с отсутствием данных услугополучателя в государственной базе данных физических лиц/государственной базе данных юридических лиц, данных доверенности в единой нотариальной информационной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 </w:t>
      </w:r>
      <w:r>
        <w:rPr>
          <w:rFonts w:ascii="Times New Roman"/>
          <w:b w:val="false"/>
          <w:i w:val="false"/>
          <w:color w:val="000000"/>
          <w:sz w:val="28"/>
        </w:rPr>
        <w:t>процесс 5 - направление электронного документа (запроса услугополучателя) удостоверенного (подписанного) электронной цифровой подписью оператора центра обслуживания населения через шлюз электронного правительства в автоматизированном рабочем месте регионального шлюза электронного правительства.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 </w:t>
      </w:r>
      <w:r>
        <w:rPr>
          <w:rFonts w:ascii="Times New Roman"/>
          <w:b w:val="false"/>
          <w:i w:val="false"/>
          <w:color w:val="000000"/>
          <w:sz w:val="28"/>
        </w:rPr>
        <w:t>процесс 6 - получение услугополучателем результата оказания государственной услуги (выдача справки или мотивированный отказ), сформированный в автоматизированном рабочем месте интегрированной информационной системы центра обслуживания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Функциональные взаимодействия информационных систем, задействованных при оказании государственной услуги через центры обслуживания населения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 </w:t>
      </w:r>
      <w:r>
        <w:rPr>
          <w:rFonts w:ascii="Times New Roman"/>
          <w:b w:val="false"/>
          <w:i w:val="false"/>
          <w:color w:val="000000"/>
          <w:sz w:val="28"/>
        </w:rPr>
        <w:t>Описание процесса получения результата оказания государственной услуги через Центр обслуживания населения, его длительность: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Центре обслуживания населения выдача готового результата государственной услуги осуществляется его работником на основании расписки, при предъявлении документа, удостоверяющего личность и (или) документа, удостоверяющего полномочия доверенного лица (для идентификации личности услугополучателя или доверенного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 </w:t>
      </w:r>
      <w:r>
        <w:rPr>
          <w:rFonts w:ascii="Times New Roman"/>
          <w:b w:val="false"/>
          <w:i w:val="false"/>
          <w:color w:val="000000"/>
          <w:sz w:val="28"/>
        </w:rPr>
        <w:t>Описание порядка обращения при оказании государственной услуги через веб-портал "электронного правительства" и последовательности процедур (действий) услугодателя 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услугополучатель осуществляет регистрацию на Портале с помощью индивидуального идентификационного номера и бизнес–идентификационного номера,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 </w:t>
      </w:r>
      <w:r>
        <w:rPr>
          <w:rFonts w:ascii="Times New Roman"/>
          <w:b w:val="false"/>
          <w:i w:val="false"/>
          <w:color w:val="000000"/>
          <w:sz w:val="28"/>
        </w:rPr>
        <w:t>процесс 1 – ввод услугополучателем индивидуального идентификационного номера/бизнес–идентификационного номера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 </w:t>
      </w:r>
      <w:r>
        <w:rPr>
          <w:rFonts w:ascii="Times New Roman"/>
          <w:b w:val="false"/>
          <w:i w:val="false"/>
          <w:color w:val="000000"/>
          <w:sz w:val="28"/>
        </w:rPr>
        <w:t>условие 1 – проверка на портале подлинности данных о зарегистрированном услугополучателе через индивидуального идентификационного номера/бизнес–идентификационного номера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 </w:t>
      </w:r>
      <w:r>
        <w:rPr>
          <w:rFonts w:ascii="Times New Roman"/>
          <w:b w:val="false"/>
          <w:i w:val="false"/>
          <w:color w:val="000000"/>
          <w:sz w:val="28"/>
        </w:rPr>
        <w:t>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 </w:t>
      </w:r>
      <w:r>
        <w:rPr>
          <w:rFonts w:ascii="Times New Roman"/>
          <w:b w:val="false"/>
          <w:i w:val="false"/>
          <w:color w:val="000000"/>
          <w:sz w:val="28"/>
        </w:rPr>
        <w:t>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пункте 9 Стандарта, а также выбор услугополучателем регистрационного свидетельства электронной цифровой подписью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 </w:t>
      </w:r>
      <w:r>
        <w:rPr>
          <w:rFonts w:ascii="Times New Roman"/>
          <w:b w:val="false"/>
          <w:i w:val="false"/>
          <w:color w:val="000000"/>
          <w:sz w:val="28"/>
        </w:rPr>
        <w:t>условие 2 – проверка на портале срока действия регистрационного свидетельства электронной цифровой подписью и отсутствия в списке отозванных (аннулированных) регистрационных свидетельств, а также соответствия идентификационных данных (между индивидуальным идентификационным номером/бизнес–идентификационным номером указанным в запросе и индивидуальным идентификационным номером/бизнес–идентификационным номером указанным в регистрационном свидетельстве электронной цифровой подписью);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 </w:t>
      </w:r>
      <w:r>
        <w:rPr>
          <w:rFonts w:ascii="Times New Roman"/>
          <w:b w:val="false"/>
          <w:i w:val="false"/>
          <w:color w:val="000000"/>
          <w:sz w:val="28"/>
        </w:rPr>
        <w:t>процесс 4 – формирование сообщения об отказе в запрашиваемой услуге в связи с неподтверждением подлинности электронной цифровой подписью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 </w:t>
      </w:r>
      <w:r>
        <w:rPr>
          <w:rFonts w:ascii="Times New Roman"/>
          <w:b w:val="false"/>
          <w:i w:val="false"/>
          <w:color w:val="000000"/>
          <w:sz w:val="28"/>
        </w:rPr>
        <w:t>процесс 5 – направление электронного документа (запроса услугополучателя) удостоверенного (подписанного) электронной цифровой подписью услугополучателя через шлюз электронного правительства в автоматизированном рабочем месте регионального шлюза электронного правительства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 </w:t>
      </w:r>
      <w:r>
        <w:rPr>
          <w:rFonts w:ascii="Times New Roman"/>
          <w:b w:val="false"/>
          <w:i w:val="false"/>
          <w:color w:val="000000"/>
          <w:sz w:val="28"/>
        </w:rPr>
        <w:t>условие 3 – проверка услугодателем соответствия приложенных услугополучателем документов, указанных в Стандарте и основании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 </w:t>
      </w:r>
      <w:r>
        <w:rPr>
          <w:rFonts w:ascii="Times New Roman"/>
          <w:b w:val="false"/>
          <w:i w:val="false"/>
          <w:color w:val="000000"/>
          <w:sz w:val="28"/>
        </w:rPr>
        <w:t>процесс 6 -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 </w:t>
      </w:r>
      <w:r>
        <w:rPr>
          <w:rFonts w:ascii="Times New Roman"/>
          <w:b w:val="false"/>
          <w:i w:val="false"/>
          <w:color w:val="000000"/>
          <w:sz w:val="28"/>
        </w:rPr>
        <w:t>процесс 7 – получение услугополучателем результата услуги (уведомление в форме электронного документа) сформированный Порталом.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оказания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Заключительные положения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11.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Справочник бизнес-процессов оказания государственной услуги размещается на веб-портале "электронного правительства", интернет – 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печатных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распространяемых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области"</w:t>
            </w:r>
          </w:p>
        </w:tc>
      </w:tr>
    </w:tbl>
    <w:bookmarkStart w:name="z8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действий при взаимодействии структурных подразделений (работников) услугодателей при оказании государственной услуги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797800" cy="811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97800" cy="811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периодических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печатных изданий,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распространяемых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области"</w:t>
            </w:r>
          </w:p>
        </w:tc>
      </w:tr>
    </w:tbl>
    <w:bookmarkStart w:name="z9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Центр обслуживания населения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4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и сокращения: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drawing>
                <wp:inline distT="0" distB="0" distL="0" distR="0">
                  <wp:extent cx="7188200" cy="5651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8200" cy="565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периодических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печатных изданий,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распространяемых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4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и сокращения:</w:t>
      </w:r>
    </w:p>
    <w:bookmarkEnd w:id="8"/>
    <w:bookmarkStart w:name="z98" w:id="9"/>
    <w:p>
      <w:pPr>
        <w:spacing w:after="0"/>
        <w:ind w:left="0"/>
        <w:jc w:val="left"/>
      </w:pP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442200" cy="638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42200" cy="638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Приложение 4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"Учет иностранных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периодических печатных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изданий, распространяемых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территории Жамбылской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 "Учет иностранных периодических печатных изданий, распространяемых на территории Жамбылской области"</w:t>
      </w:r>
    </w:p>
    <w:bookmarkEnd w:id="10"/>
    <w:bookmarkStart w:name="z99" w:id="11"/>
    <w:p>
      <w:pPr>
        <w:spacing w:after="0"/>
        <w:ind w:left="0"/>
        <w:jc w:val="left"/>
      </w:pP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342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01" w:id="12"/>
    <w:p>
      <w:pPr>
        <w:spacing w:after="0"/>
        <w:ind w:left="0"/>
        <w:jc w:val="left"/>
      </w:pP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521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2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3"/>
    <w:bookmarkStart w:name="z127" w:id="14"/>
    <w:p>
      <w:pPr>
        <w:spacing w:after="0"/>
        <w:ind w:left="0"/>
        <w:jc w:val="left"/>
      </w:pP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543800" cy="314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314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