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d021" w14:textId="0abd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сельского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27 марта 2014 года № 73. Зарегистрировано Департаментом юстиции Жамбылской области 4 мая 2014 года № 2203. Утратило силу постановлением акимата Жамбылской области от 28 декабря 2015 года № 319</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Жамбылской области от 28.12.2015 </w:t>
      </w:r>
      <w:r>
        <w:rPr>
          <w:rFonts w:ascii="Times New Roman"/>
          <w:b w:val="false"/>
          <w:i w:val="false"/>
          <w:color w:val="ff0000"/>
          <w:sz w:val="28"/>
        </w:rPr>
        <w:t>№ 319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Жамбылской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"Аттестация производителей оригинальных, элитных семян, семян первой, второй и третьей репродукций и реализаторов семян";</w:t>
      </w:r>
      <w:r>
        <w:br/>
      </w: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стоимости услуг по подаче воды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"Управление сельского хозяйства акимата Жамбылской области"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постановления в органах юстиции;</w:t>
      </w:r>
      <w:r>
        <w:br/>
      </w: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постановления на интернет-ресурсе Акимата Жамбылской области.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возлагается на заместителя акима области М. Жолдасбаева.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области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Кокрекбаев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27 марта 2014 года № 73</w:t>
            </w:r>
          </w:p>
        </w:tc>
      </w:tr>
    </w:tbl>
    <w:bookmarkStart w:name="z7" w:id="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"Аттестация производителей оригинальных, элитных семян, семян</w:t>
      </w:r>
      <w:r>
        <w:br/>
      </w:r>
      <w:r>
        <w:rPr>
          <w:rFonts w:ascii="Times New Roman"/>
          <w:b/>
          <w:i w:val="false"/>
          <w:color w:val="000000"/>
        </w:rPr>
        <w:t>первой, второй и третьей репродукций и реализаторов семян"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"Аттестация производителей оригинальных, элитных семян, семян первой, второй и третьей репродукций и реализаторов семян" (далее – государственная услуга) оказывается управлением сельского хозяйства акимата Жамбылской области (далее – услугодатель), а также центры обслуживания населения на альтернативной основе (далее – услугодатель), а также через веб-портал "электронного правительства": www.e.gov.kz или портал "Е–лицензирование": www.elicense.kz (далее – портал). Прием заявлений и выдача результатов осуществляется услугодателем.</w:t>
      </w:r>
      <w:r>
        <w:br/>
      </w:r>
      <w:r>
        <w:rPr>
          <w:rFonts w:ascii="Times New Roman"/>
          <w:b w:val="false"/>
          <w:i w:val="false"/>
          <w:color w:val="000000"/>
          <w:sz w:val="28"/>
        </w:rPr>
        <w:t>
      </w:t>
      </w:r>
      <w:r>
        <w:rPr>
          <w:rFonts w:ascii="Times New Roman"/>
          <w:b w:val="false"/>
          <w:i w:val="false"/>
          <w:color w:val="000000"/>
          <w:sz w:val="28"/>
        </w:rPr>
        <w:t>2.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Результатом оказываемой государственной услуги является выдача свидетельства об аттестации в форме электронного документа, удостоверенного электронной цифровой подписью уполномоченного должностного лица услугодателя.</w:t>
      </w:r>
      <w:r>
        <w:br/>
      </w:r>
      <w:r>
        <w:rPr>
          <w:rFonts w:ascii="Times New Roman"/>
          <w:b w:val="false"/>
          <w:i w:val="false"/>
          <w:color w:val="000000"/>
          <w:sz w:val="28"/>
        </w:rPr>
        <w:t>
      В случае обращения к услугодателю за получением свидетельства на бумажном носителе свидетельство об аттестации оформляется в электронном формате, распечатывается, заверяется печатью и подписывается руководителем услугодателя.</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действия по оказанию государственной услуги является:</w:t>
      </w:r>
      <w:r>
        <w:br/>
      </w:r>
      <w:r>
        <w:rPr>
          <w:rFonts w:ascii="Times New Roman"/>
          <w:b w:val="false"/>
          <w:i w:val="false"/>
          <w:color w:val="000000"/>
          <w:sz w:val="28"/>
        </w:rPr>
        <w:t xml:space="preserve">
      1) при обращении к услугодателю - заявление по форме согласно приложении стандарта государственной услуги "Об утверждении стандарта государственной услуги "Аттестация производителей оригинальных, элитных семян, семян первой, второй и третьей репродукций и реализаторов семян" утвержденного постановлением Правительства Республики Казахстан от 05 марта 2014 года </w:t>
      </w:r>
      <w:r>
        <w:rPr>
          <w:rFonts w:ascii="Times New Roman"/>
          <w:b w:val="false"/>
          <w:i w:val="false"/>
          <w:color w:val="000000"/>
          <w:sz w:val="28"/>
        </w:rPr>
        <w:t>№ 199</w:t>
      </w:r>
      <w:r>
        <w:rPr>
          <w:rFonts w:ascii="Times New Roman"/>
          <w:b w:val="false"/>
          <w:i w:val="false"/>
          <w:color w:val="000000"/>
          <w:sz w:val="28"/>
        </w:rPr>
        <w:t xml:space="preserve"> (далее-Стандарт)</w:t>
      </w:r>
      <w:r>
        <w:br/>
      </w:r>
      <w:r>
        <w:rPr>
          <w:rFonts w:ascii="Times New Roman"/>
          <w:b w:val="false"/>
          <w:i w:val="false"/>
          <w:color w:val="000000"/>
          <w:sz w:val="28"/>
        </w:rPr>
        <w:t>
      2) при обращении на портал - электронный запрос услугополучателя.</w:t>
      </w:r>
      <w:r>
        <w:br/>
      </w:r>
      <w:r>
        <w:rPr>
          <w:rFonts w:ascii="Times New Roman"/>
          <w:b w:val="false"/>
          <w:i w:val="false"/>
          <w:color w:val="000000"/>
          <w:sz w:val="28"/>
        </w:rPr>
        <w:t>
      </w:t>
      </w:r>
      <w:r>
        <w:rPr>
          <w:rFonts w:ascii="Times New Roman"/>
          <w:b w:val="false"/>
          <w:i w:val="false"/>
          <w:color w:val="000000"/>
          <w:sz w:val="28"/>
        </w:rPr>
        <w:t>6.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с момента сдачи пакета документов услугополучателем услугодателю – не более двадцати рабочих дней;</w:t>
      </w:r>
      <w:r>
        <w:br/>
      </w:r>
      <w:r>
        <w:rPr>
          <w:rFonts w:ascii="Times New Roman"/>
          <w:b w:val="false"/>
          <w:i w:val="false"/>
          <w:color w:val="000000"/>
          <w:sz w:val="28"/>
        </w:rPr>
        <w:t>
      максимально допустимое время ожидания для сдачи пакета документов услугополучателем услугодателю – не более 30 (тридцать) минут;</w:t>
      </w:r>
      <w:r>
        <w:br/>
      </w:r>
      <w:r>
        <w:rPr>
          <w:rFonts w:ascii="Times New Roman"/>
          <w:b w:val="false"/>
          <w:i w:val="false"/>
          <w:color w:val="000000"/>
          <w:sz w:val="28"/>
        </w:rPr>
        <w:t>
      максимально допустимое время обслуживания услугополучателя – не более 30 (тридцать) минут;</w:t>
      </w:r>
      <w:r>
        <w:br/>
      </w:r>
      <w:r>
        <w:rPr>
          <w:rFonts w:ascii="Times New Roman"/>
          <w:b w:val="false"/>
          <w:i w:val="false"/>
          <w:color w:val="000000"/>
          <w:sz w:val="28"/>
        </w:rPr>
        <w:t xml:space="preserve">
      2) на портале с момента подачи электронного запроса услугополучателем – не более двадцати рабочих дней. </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канцелярия услугодателя;</w:t>
      </w:r>
      <w:r>
        <w:br/>
      </w:r>
      <w:r>
        <w:rPr>
          <w:rFonts w:ascii="Times New Roman"/>
          <w:b w:val="false"/>
          <w:i w:val="false"/>
          <w:color w:val="000000"/>
          <w:sz w:val="28"/>
        </w:rPr>
        <w:t>
      2) руководство услугодателя;</w:t>
      </w:r>
      <w:r>
        <w:br/>
      </w:r>
      <w:r>
        <w:rPr>
          <w:rFonts w:ascii="Times New Roman"/>
          <w:b w:val="false"/>
          <w:i w:val="false"/>
          <w:color w:val="000000"/>
          <w:sz w:val="28"/>
        </w:rPr>
        <w:t>
      3)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 xml:space="preserve">8. Описание последовательности процедур (действий) между структурными подразделениями (работниками) с указанием длительности каждой процедуры (действия) сопровождается блок - схемой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Пошаговые действия и решения услугодателя через Портал:</w:t>
      </w:r>
      <w:r>
        <w:br/>
      </w: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и бизнес–идентификационного номера, а также пароля (осуществляется для незарегистрированных услугополучателей на Портале);</w:t>
      </w:r>
      <w:r>
        <w:br/>
      </w:r>
      <w:r>
        <w:rPr>
          <w:rFonts w:ascii="Times New Roman"/>
          <w:b w:val="false"/>
          <w:i w:val="false"/>
          <w:color w:val="000000"/>
          <w:sz w:val="28"/>
        </w:rPr>
        <w:t>
      2) процесс 1 – процесс ввода услугополучателем индивидуального идентификационного номера / бизнес–идентификационного номера и пароля (процесс авторизации) на Портале для получения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индивидуального идентификационного номера / бизнес–идентификационного номера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пункте 9 Стандарта, а также выбор услугополучателем регистрационного свидетельства электронно – цифровой подписи для удостоверения (подписания) запроса;</w:t>
      </w:r>
      <w:r>
        <w:br/>
      </w:r>
      <w:r>
        <w:rPr>
          <w:rFonts w:ascii="Times New Roman"/>
          <w:b w:val="false"/>
          <w:i w:val="false"/>
          <w:color w:val="000000"/>
          <w:sz w:val="28"/>
        </w:rPr>
        <w:t>
      6) условие 2 – проверка на Портале срока действия регистрационного свидетельства электронно – цифровой подписи и отсутствия в списке отозванных (аннулированных) регистрационных свидетельств, а также соответствия идентификационных данных (между индивидуального идентификационного номера / бизнес–идентификационного номера указанным в запросе, и индивидуального идентификационного номера / бизнес–идентификационного номера указанным в регистрационном свидетельстве электронно – цифровой подписи);</w:t>
      </w:r>
      <w:r>
        <w:br/>
      </w: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электронно – цифровой подписи услугополучателя;</w:t>
      </w:r>
      <w:r>
        <w:br/>
      </w: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электронно – цифровой подписи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9) условие 3 – проверка услугодателем соответствия приложенных услугополучателем документов, указанных в Стандарте и основаниям для оказания услуги;</w:t>
      </w:r>
      <w:r>
        <w:br/>
      </w: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сформированный Порталом. Электронный документ формируется с использованием электронно – цифровой подписи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xml:space="preserve">10. 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 "Аттестация</w:t>
            </w:r>
            <w:r>
              <w:br/>
            </w:r>
            <w:r>
              <w:rPr>
                <w:rFonts w:ascii="Times New Roman"/>
                <w:b w:val="false"/>
                <w:i w:val="false"/>
                <w:color w:val="000000"/>
                <w:sz w:val="20"/>
              </w:rPr>
              <w:t>производителей оригинальных, элитных</w:t>
            </w:r>
            <w:r>
              <w:br/>
            </w:r>
            <w:r>
              <w:rPr>
                <w:rFonts w:ascii="Times New Roman"/>
                <w:b w:val="false"/>
                <w:i w:val="false"/>
                <w:color w:val="000000"/>
                <w:sz w:val="20"/>
              </w:rPr>
              <w:t>семян, семян первой, второй и третьей</w:t>
            </w:r>
            <w:r>
              <w:br/>
            </w:r>
            <w:r>
              <w:rPr>
                <w:rFonts w:ascii="Times New Roman"/>
                <w:b w:val="false"/>
                <w:i w:val="false"/>
                <w:color w:val="000000"/>
                <w:sz w:val="20"/>
              </w:rPr>
              <w:t>репродукций и реализаторов семян"</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 "Аттестация</w:t>
            </w:r>
            <w:r>
              <w:br/>
            </w:r>
            <w:r>
              <w:rPr>
                <w:rFonts w:ascii="Times New Roman"/>
                <w:b w:val="false"/>
                <w:i w:val="false"/>
                <w:color w:val="000000"/>
                <w:sz w:val="20"/>
              </w:rPr>
              <w:t>производителей оригинальных, элитных</w:t>
            </w:r>
            <w:r>
              <w:br/>
            </w:r>
            <w:r>
              <w:rPr>
                <w:rFonts w:ascii="Times New Roman"/>
                <w:b w:val="false"/>
                <w:i w:val="false"/>
                <w:color w:val="000000"/>
                <w:sz w:val="20"/>
              </w:rPr>
              <w:t>семян, семян первой, второй и третьей</w:t>
            </w:r>
            <w:r>
              <w:br/>
            </w:r>
            <w:r>
              <w:rPr>
                <w:rFonts w:ascii="Times New Roman"/>
                <w:b w:val="false"/>
                <w:i w:val="false"/>
                <w:color w:val="000000"/>
                <w:sz w:val="20"/>
              </w:rPr>
              <w:t>репродукций и реализаторов семян"</w:t>
            </w:r>
          </w:p>
        </w:tc>
      </w:tr>
    </w:tbl>
    <w:p>
      <w:pPr>
        <w:spacing w:after="0"/>
        <w:ind w:left="0"/>
        <w:jc w:val="left"/>
      </w:pPr>
      <w:r>
        <w:rPr>
          <w:rFonts w:ascii="Times New Roman"/>
          <w:b/>
          <w:i w:val="false"/>
          <w:color w:val="000000"/>
        </w:rPr>
        <w:t xml:space="preserve"> Блок-схема</w:t>
      </w:r>
      <w:r>
        <w:br/>
      </w:r>
      <w:r>
        <w:rPr>
          <w:rFonts w:ascii="Times New Roman"/>
          <w:b/>
          <w:i w:val="false"/>
          <w:color w:val="000000"/>
        </w:rPr>
        <w:t>Описание последовательности процедур (действий)</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27 марта 2014 года № 73</w:t>
            </w:r>
          </w:p>
        </w:tc>
      </w:tr>
    </w:tbl>
    <w:bookmarkStart w:name="z23" w:id="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"Субсидирование стоимости услуг по подаче</w:t>
      </w:r>
      <w:r>
        <w:br/>
      </w:r>
      <w:r>
        <w:rPr>
          <w:rFonts w:ascii="Times New Roman"/>
          <w:b/>
          <w:i w:val="false"/>
          <w:color w:val="000000"/>
        </w:rPr>
        <w:t>воды сельскохозяйственным товаропроизводителям"</w:t>
      </w:r>
      <w:r>
        <w:br/>
      </w:r>
      <w:r>
        <w:rPr>
          <w:rFonts w:ascii="Times New Roman"/>
          <w:b/>
          <w:i w:val="false"/>
          <w:color w:val="000000"/>
        </w:rPr>
        <w:t>1. Общие положения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"Субсидирование стоимости услуг по подаче воды сельскохозяйственным товаропроизводителям" (далее – государственная услуга ) оказывается коммунальным государственным учреждением "Управление сельского хозяйства акимата Жамбылской области" и отделами сельского хозяйства акимата районов (далее – услугодатель). Прием заявлений и выдача результатов оказания государственной услуги осуществляется через канцелярии услугодателя.</w:t>
      </w:r>
      <w:r>
        <w:br/>
      </w:r>
      <w:r>
        <w:rPr>
          <w:rFonts w:ascii="Times New Roman"/>
          <w:b w:val="false"/>
          <w:i w:val="false"/>
          <w:color w:val="000000"/>
          <w:sz w:val="28"/>
        </w:rPr>
        <w:t>
      </w:t>
      </w:r>
      <w:r>
        <w:rPr>
          <w:rFonts w:ascii="Times New Roman"/>
          <w:b w:val="false"/>
          <w:i w:val="false"/>
          <w:color w:val="000000"/>
          <w:sz w:val="28"/>
        </w:rPr>
        <w:t>2.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w:t>
      </w:r>
      <w:r>
        <w:br/>
      </w:r>
      <w:r>
        <w:rPr>
          <w:rFonts w:ascii="Times New Roman"/>
          <w:b w:val="false"/>
          <w:i w:val="false"/>
          <w:color w:val="000000"/>
          <w:sz w:val="28"/>
        </w:rPr>
        <w:t>
</w:t>
      </w:r>
    </w:p>
    <w:bookmarkStart w:name="z27" w:id="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действия по оказанию государственной услуги является:</w:t>
      </w:r>
      <w:r>
        <w:br/>
      </w:r>
      <w:r>
        <w:rPr>
          <w:rFonts w:ascii="Times New Roman"/>
          <w:b w:val="false"/>
          <w:i w:val="false"/>
          <w:color w:val="000000"/>
          <w:sz w:val="28"/>
        </w:rPr>
        <w:t xml:space="preserve">
      Заявление по форме согласно приложении стандарта государственной услуги "Об утверждении стандарта государственной услуги "Субсидирование стоимости услуг по подаче воды сельскохозяйственным товаропроизводителям" утвержденного постановлением Правительства Республики Казахстан от 24 февраля 2014 года </w:t>
      </w:r>
      <w:r>
        <w:rPr>
          <w:rFonts w:ascii="Times New Roman"/>
          <w:b w:val="false"/>
          <w:i w:val="false"/>
          <w:color w:val="000000"/>
          <w:sz w:val="28"/>
        </w:rPr>
        <w:t>№ 134</w:t>
      </w:r>
      <w:r>
        <w:rPr>
          <w:rFonts w:ascii="Times New Roman"/>
          <w:b w:val="false"/>
          <w:i w:val="false"/>
          <w:color w:val="000000"/>
          <w:sz w:val="28"/>
        </w:rPr>
        <w:t xml:space="preserve"> (далее - Стандарт).</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w:t>
      </w:r>
      <w:r>
        <w:br/>
      </w:r>
      <w:r>
        <w:rPr>
          <w:rFonts w:ascii="Times New Roman"/>
          <w:b w:val="false"/>
          <w:i w:val="false"/>
          <w:color w:val="000000"/>
          <w:sz w:val="28"/>
        </w:rPr>
        <w:t>
      процесса оказания государственной услуги, длительность его выполнения:</w:t>
      </w:r>
      <w:r>
        <w:br/>
      </w:r>
      <w:r>
        <w:rPr>
          <w:rFonts w:ascii="Times New Roman"/>
          <w:b w:val="false"/>
          <w:i w:val="false"/>
          <w:color w:val="000000"/>
          <w:sz w:val="28"/>
        </w:rPr>
        <w:t>
      1) с момента сдачи пакета документов услугополучателем до получения уведомления о решении услугодателя – не более 14 (четырнадцати) календарных дней.</w:t>
      </w:r>
      <w:r>
        <w:br/>
      </w:r>
      <w:r>
        <w:rPr>
          <w:rFonts w:ascii="Times New Roman"/>
          <w:b w:val="false"/>
          <w:i w:val="false"/>
          <w:color w:val="000000"/>
          <w:sz w:val="28"/>
        </w:rPr>
        <w:t>
      Предоставление в территориальное подразделение казначейства реестра счетов к оплате – не более 14 (четырнадцати) календарных дней после предоставления услугополучателем.</w:t>
      </w:r>
      <w:r>
        <w:br/>
      </w:r>
      <w:r>
        <w:rPr>
          <w:rFonts w:ascii="Times New Roman"/>
          <w:b w:val="false"/>
          <w:i w:val="false"/>
          <w:color w:val="000000"/>
          <w:sz w:val="28"/>
        </w:rPr>
        <w:t>
      2) максимально допустимое время ожидания для сдачи необходимых документов – не более 30 (тридцати) минут;</w:t>
      </w:r>
      <w:r>
        <w:br/>
      </w:r>
      <w:r>
        <w:rPr>
          <w:rFonts w:ascii="Times New Roman"/>
          <w:b w:val="false"/>
          <w:i w:val="false"/>
          <w:color w:val="000000"/>
          <w:sz w:val="28"/>
        </w:rPr>
        <w:t>
      3) максимально допустимое время обслуживания услугополучателя – не более 15 (пятнадцати) минут.</w:t>
      </w:r>
      <w:r>
        <w:br/>
      </w:r>
      <w:r>
        <w:rPr>
          <w:rFonts w:ascii="Times New Roman"/>
          <w:b w:val="false"/>
          <w:i w:val="false"/>
          <w:color w:val="000000"/>
          <w:sz w:val="28"/>
        </w:rPr>
        <w:t>
</w:t>
      </w:r>
    </w:p>
    <w:bookmarkStart w:name="z30"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канцелярия услугодателя;</w:t>
      </w:r>
      <w:r>
        <w:br/>
      </w:r>
      <w:r>
        <w:rPr>
          <w:rFonts w:ascii="Times New Roman"/>
          <w:b w:val="false"/>
          <w:i w:val="false"/>
          <w:color w:val="000000"/>
          <w:sz w:val="28"/>
        </w:rPr>
        <w:t>
      2) руководство услугодателя;</w:t>
      </w:r>
      <w:r>
        <w:br/>
      </w:r>
      <w:r>
        <w:rPr>
          <w:rFonts w:ascii="Times New Roman"/>
          <w:b w:val="false"/>
          <w:i w:val="false"/>
          <w:color w:val="000000"/>
          <w:sz w:val="28"/>
        </w:rPr>
        <w:t>
      3)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w:t>
      </w:r>
      <w:r>
        <w:br/>
      </w:r>
      <w:r>
        <w:rPr>
          <w:rFonts w:ascii="Times New Roman"/>
          <w:b w:val="false"/>
          <w:i w:val="false"/>
          <w:color w:val="000000"/>
          <w:sz w:val="28"/>
        </w:rPr>
        <w:t xml:space="preserve">
      структурными подразделениями (работниками) с указанием длительности каждой процедуры (действия) приведено блок-схемой согласно приложению  </w:t>
      </w:r>
      <w:r>
        <w:rPr>
          <w:rFonts w:ascii="Times New Roman"/>
          <w:b w:val="false"/>
          <w:i w:val="false"/>
          <w:color w:val="000000"/>
          <w:sz w:val="28"/>
        </w:rPr>
        <w:t>1 к настоящему</w:t>
      </w:r>
      <w:r>
        <w:rPr>
          <w:rFonts w:ascii="Times New Roman"/>
          <w:b w:val="false"/>
          <w:i w:val="false"/>
          <w:color w:val="000000"/>
          <w:sz w:val="28"/>
        </w:rPr>
        <w:t>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 "Субсидирование</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 товаропроизводителям"</w:t>
            </w:r>
          </w:p>
        </w:tc>
      </w:tr>
    </w:tbl>
    <w:p>
      <w:pPr>
        <w:spacing w:after="0"/>
        <w:ind w:left="0"/>
        <w:jc w:val="left"/>
      </w:pPr>
      <w:r>
        <w:rPr>
          <w:rFonts w:ascii="Times New Roman"/>
          <w:b/>
          <w:i w:val="false"/>
          <w:color w:val="000000"/>
        </w:rPr>
        <w:t xml:space="preserve"> Блок-схема</w:t>
      </w:r>
      <w:r>
        <w:br/>
      </w:r>
      <w:r>
        <w:rPr>
          <w:rFonts w:ascii="Times New Roman"/>
          <w:b/>
          <w:i w:val="false"/>
          <w:color w:val="000000"/>
        </w:rPr>
        <w:t>Описание последовательности процедур (действий)</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