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999c" w14:textId="1be9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единого накопительного пенсионного фонда и добровольных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ноября 2014 года № 520 и постановление Правления Национального Банка Республики Казахстан от 24 декабря 2014 года № 239. Зарегистрирован в Министерстве юстиции Республики Казахстан 10 февраля 2015 года № 10216. Утратило силу совместным постановлением Правления Агентства Республики Казахстан по регулированию и развитию финансового рынка от 29 октября 2020 года № 104 и приказ Министра финансов Республики Казахстан от 30 октября 2020 года № 1055.</w:t>
      </w:r>
    </w:p>
    <w:p>
      <w:pPr>
        <w:spacing w:after="0"/>
        <w:ind w:left="0"/>
        <w:jc w:val="both"/>
      </w:pPr>
      <w:r>
        <w:rPr>
          <w:rFonts w:ascii="Times New Roman"/>
          <w:b w:val="false"/>
          <w:i w:val="false"/>
          <w:color w:val="ff0000"/>
          <w:sz w:val="28"/>
        </w:rPr>
        <w:t xml:space="preserve">
      Сноска. Совместный приказ и постановление утратил силу </w:t>
      </w:r>
      <w:r>
        <w:rPr>
          <w:rFonts w:ascii="Times New Roman"/>
          <w:b w:val="false"/>
          <w:i w:val="false"/>
          <w:color w:val="ff0000"/>
          <w:sz w:val="28"/>
        </w:rPr>
        <w:t>совместным постановлением</w:t>
      </w:r>
      <w:r>
        <w:rPr>
          <w:rFonts w:ascii="Times New Roman"/>
          <w:b w:val="false"/>
          <w:i w:val="false"/>
          <w:color w:val="ff0000"/>
          <w:sz w:val="28"/>
        </w:rPr>
        <w:t xml:space="preserve"> Правления Агентства РК по регулированию и развитию финансового рынка от 29.10.2020 № 104 и приказом Министра финансов РК от 30.10.2020 № 1055 (вводится в действие с 15.11.2020).</w:t>
      </w:r>
      <w:r>
        <w:br/>
      </w:r>
      <w:r>
        <w:rPr>
          <w:rFonts w:ascii="Times New Roman"/>
          <w:b w:val="false"/>
          <w:i w:val="false"/>
          <w:color w:val="ff0000"/>
          <w:sz w:val="28"/>
        </w:rPr>
        <w:t>
      Примечание РЦПИ!</w:t>
      </w:r>
      <w:r>
        <w:br/>
      </w:r>
      <w:r>
        <w:rPr>
          <w:rFonts w:ascii="Times New Roman"/>
          <w:b w:val="false"/>
          <w:i w:val="false"/>
          <w:color w:val="ff0000"/>
          <w:sz w:val="28"/>
        </w:rPr>
        <w:t>
      Настоящие приказ и постановление вводятся в действие с 15.12.2014.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Министр финансов Республики Казахстан </w:t>
      </w:r>
      <w:r>
        <w:rPr>
          <w:rFonts w:ascii="Times New Roman"/>
          <w:b/>
          <w:i w:val="false"/>
          <w:color w:val="000000"/>
          <w:sz w:val="28"/>
        </w:rPr>
        <w:t>ПРИКАЗЫВАЕТ</w:t>
      </w:r>
      <w:r>
        <w:rPr>
          <w:rFonts w:ascii="Times New Roman"/>
          <w:b w:val="false"/>
          <w:i w:val="false"/>
          <w:color w:val="000000"/>
          <w:sz w:val="28"/>
        </w:rPr>
        <w:t xml:space="preserve"> 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и финансированию терроризма для единого накопительного пенсионного фонда и добровольных накопительных пенсионных фондов.</w:t>
      </w:r>
    </w:p>
    <w:bookmarkEnd w:id="0"/>
    <w:bookmarkStart w:name="z3" w:id="1"/>
    <w:p>
      <w:pPr>
        <w:spacing w:after="0"/>
        <w:ind w:left="0"/>
        <w:jc w:val="both"/>
      </w:pPr>
      <w:r>
        <w:rPr>
          <w:rFonts w:ascii="Times New Roman"/>
          <w:b w:val="false"/>
          <w:i w:val="false"/>
          <w:color w:val="000000"/>
          <w:sz w:val="28"/>
        </w:rPr>
        <w:t>
      2. Единому накопительному пенсионному фонду и добровольным накопительным пенсионным фондам:</w:t>
      </w:r>
    </w:p>
    <w:bookmarkEnd w:id="1"/>
    <w:p>
      <w:pPr>
        <w:spacing w:after="0"/>
        <w:ind w:left="0"/>
        <w:jc w:val="both"/>
      </w:pPr>
      <w:r>
        <w:rPr>
          <w:rFonts w:ascii="Times New Roman"/>
          <w:b w:val="false"/>
          <w:i w:val="false"/>
          <w:color w:val="000000"/>
          <w:sz w:val="28"/>
        </w:rPr>
        <w:t>
      1)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w:t>
      </w:r>
    </w:p>
    <w:p>
      <w:pPr>
        <w:spacing w:after="0"/>
        <w:ind w:left="0"/>
        <w:jc w:val="both"/>
      </w:pPr>
      <w:r>
        <w:rPr>
          <w:rFonts w:ascii="Times New Roman"/>
          <w:b w:val="false"/>
          <w:i w:val="false"/>
          <w:color w:val="000000"/>
          <w:sz w:val="28"/>
        </w:rPr>
        <w:t xml:space="preserve">
      2) провести мероприятия по доработке автоматизированных информационных систем и определению уровня риска существующих клиентов в соответствии с настоящими приказом и постановлением не позднее одного календарного года со дня введения в действие настоящих приказа и постановления. </w:t>
      </w:r>
    </w:p>
    <w:bookmarkStart w:name="z4" w:id="2"/>
    <w:p>
      <w:pPr>
        <w:spacing w:after="0"/>
        <w:ind w:left="0"/>
        <w:jc w:val="both"/>
      </w:pPr>
      <w:r>
        <w:rPr>
          <w:rFonts w:ascii="Times New Roman"/>
          <w:b w:val="false"/>
          <w:i w:val="false"/>
          <w:color w:val="000000"/>
          <w:sz w:val="28"/>
        </w:rPr>
        <w:t>
      3. Комитету по финансовому мониторингу Министерства финансов Республики Казахстан (Таджияков Б.Ш.)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настоящих приказа и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настоящих приказа и постановления на интернет-ресурсе Министерства финансов Республики Казахстан.</w:t>
      </w:r>
    </w:p>
    <w:bookmarkStart w:name="z5" w:id="3"/>
    <w:p>
      <w:pPr>
        <w:spacing w:after="0"/>
        <w:ind w:left="0"/>
        <w:jc w:val="both"/>
      </w:pPr>
      <w:r>
        <w:rPr>
          <w:rFonts w:ascii="Times New Roman"/>
          <w:b w:val="false"/>
          <w:i w:val="false"/>
          <w:color w:val="000000"/>
          <w:sz w:val="28"/>
        </w:rPr>
        <w:t>
      4. Настоящие приказ и постановление вводятся в действие с 15 декабря 2014 года.</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49"/>
        <w:gridCol w:w="5451"/>
      </w:tblGrid>
      <w:tr>
        <w:trPr>
          <w:trHeight w:val="30" w:hRule="atLeast"/>
        </w:trPr>
        <w:tc>
          <w:tcPr>
            <w:tcW w:w="6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_____________Б. Султанов</w:t>
            </w:r>
          </w:p>
        </w:tc>
        <w:tc>
          <w:tcPr>
            <w:tcW w:w="5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__________К. Келимбетов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520</w:t>
            </w:r>
            <w:r>
              <w:br/>
            </w:r>
            <w:r>
              <w:rPr>
                <w:rFonts w:ascii="Times New Roman"/>
                <w:b w:val="false"/>
                <w:i w:val="false"/>
                <w:color w:val="000000"/>
                <w:sz w:val="20"/>
              </w:rPr>
              <w:t>и 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239</w:t>
            </w:r>
          </w:p>
        </w:tc>
      </w:tr>
    </w:tbl>
    <w:bookmarkStart w:name="z7" w:id="4"/>
    <w:p>
      <w:pPr>
        <w:spacing w:after="0"/>
        <w:ind w:left="0"/>
        <w:jc w:val="left"/>
      </w:pPr>
      <w:r>
        <w:rPr>
          <w:rFonts w:ascii="Times New Roman"/>
          <w:b/>
          <w:i w:val="false"/>
          <w:color w:val="000000"/>
        </w:rPr>
        <w:t xml:space="preserve"> Требования к Правилам внутреннего контроля</w:t>
      </w:r>
      <w:r>
        <w:br/>
      </w:r>
      <w:r>
        <w:rPr>
          <w:rFonts w:ascii="Times New Roman"/>
          <w:b/>
          <w:i w:val="false"/>
          <w:color w:val="000000"/>
        </w:rPr>
        <w:t>в целях противодействия легализации (отмыванию) доходов,</w:t>
      </w:r>
      <w:r>
        <w:br/>
      </w:r>
      <w:r>
        <w:rPr>
          <w:rFonts w:ascii="Times New Roman"/>
          <w:b/>
          <w:i w:val="false"/>
          <w:color w:val="000000"/>
        </w:rPr>
        <w:t>полученных преступным путем, и финансированию терроризма</w:t>
      </w:r>
      <w:r>
        <w:br/>
      </w:r>
      <w:r>
        <w:rPr>
          <w:rFonts w:ascii="Times New Roman"/>
          <w:b/>
          <w:i w:val="false"/>
          <w:color w:val="000000"/>
        </w:rPr>
        <w:t>для единого накопительного пенсионного фонда и добровольных</w:t>
      </w:r>
      <w:r>
        <w:br/>
      </w:r>
      <w:r>
        <w:rPr>
          <w:rFonts w:ascii="Times New Roman"/>
          <w:b/>
          <w:i w:val="false"/>
          <w:color w:val="000000"/>
        </w:rPr>
        <w:t>накопительных пенсионных фондов</w:t>
      </w:r>
      <w:r>
        <w:br/>
      </w:r>
      <w:r>
        <w:rPr>
          <w:rFonts w:ascii="Times New Roman"/>
          <w:b/>
          <w:i w:val="false"/>
          <w:color w:val="000000"/>
        </w:rPr>
        <w:t>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для единого накопительного пенсионного фонда и добровольных накопительных пенсионных фондов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2013 года № 240 "Об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 зарегистрированным в Реестре государственной регистрации нормативных правовых актов под № 8816.</w:t>
      </w:r>
    </w:p>
    <w:bookmarkEnd w:id="5"/>
    <w:bookmarkStart w:name="z10" w:id="6"/>
    <w:p>
      <w:pPr>
        <w:spacing w:after="0"/>
        <w:ind w:left="0"/>
        <w:jc w:val="both"/>
      </w:pPr>
      <w:r>
        <w:rPr>
          <w:rFonts w:ascii="Times New Roman"/>
          <w:b w:val="false"/>
          <w:i w:val="false"/>
          <w:color w:val="000000"/>
          <w:sz w:val="28"/>
        </w:rPr>
        <w:t xml:space="preserve">
      2. Если Требованиями не предусмотрено иное, то понятия, применяемые в Требованиях,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 </w:t>
      </w:r>
    </w:p>
    <w:bookmarkEnd w:id="6"/>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Start w:name="z11" w:id="7"/>
    <w:p>
      <w:pPr>
        <w:spacing w:after="0"/>
        <w:ind w:left="0"/>
        <w:jc w:val="both"/>
      </w:pPr>
      <w:r>
        <w:rPr>
          <w:rFonts w:ascii="Times New Roman"/>
          <w:b w:val="false"/>
          <w:i w:val="false"/>
          <w:color w:val="000000"/>
          <w:sz w:val="28"/>
        </w:rPr>
        <w:t xml:space="preserve">
      1) необычная операция (сделка) – операция (сделка),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 с учетом признаков, утвержденных Правительством Республики Казахстан и разработанных единым накопительным пенсионным фондом и добровольными накопительными пенсионными фондами (далее – фонд) самостоятельно;</w:t>
      </w:r>
    </w:p>
    <w:bookmarkEnd w:id="7"/>
    <w:bookmarkStart w:name="z12" w:id="8"/>
    <w:p>
      <w:pPr>
        <w:spacing w:after="0"/>
        <w:ind w:left="0"/>
        <w:jc w:val="both"/>
      </w:pPr>
      <w:r>
        <w:rPr>
          <w:rFonts w:ascii="Times New Roman"/>
          <w:b w:val="false"/>
          <w:i w:val="false"/>
          <w:color w:val="000000"/>
          <w:sz w:val="28"/>
        </w:rPr>
        <w:t>
      2) риски легализации (отмывания) доходов, полученных преступным путем, и финансирования терроризма – риски преднамеренного или непреднамеренного вовлечения фонда в процессы легализации (отмывания) доходов, полученных преступным путем, и финансирования терроризма или иную преступную деятельность;</w:t>
      </w:r>
    </w:p>
    <w:bookmarkEnd w:id="8"/>
    <w:bookmarkStart w:name="z13" w:id="9"/>
    <w:p>
      <w:pPr>
        <w:spacing w:after="0"/>
        <w:ind w:left="0"/>
        <w:jc w:val="both"/>
      </w:pPr>
      <w:r>
        <w:rPr>
          <w:rFonts w:ascii="Times New Roman"/>
          <w:b w:val="false"/>
          <w:i w:val="false"/>
          <w:color w:val="000000"/>
          <w:sz w:val="28"/>
        </w:rPr>
        <w:t>
      3) управление рисками легализации (отмывания) доходов, полученных преступным путем, и финансирования терроризма - совокупность принимаемых фондом мер по выявлению, оценке, мониторингу рисков легализации (отмывания) доходов, полученных преступным путем, и финансирования терроризма (далее – ОД/ФТ), а также их минимизации (в отношении услуг, клиентов, а также совершаемых клиентами операций);</w:t>
      </w:r>
    </w:p>
    <w:bookmarkEnd w:id="9"/>
    <w:bookmarkStart w:name="z14" w:id="10"/>
    <w:p>
      <w:pPr>
        <w:spacing w:after="0"/>
        <w:ind w:left="0"/>
        <w:jc w:val="both"/>
      </w:pPr>
      <w:r>
        <w:rPr>
          <w:rFonts w:ascii="Times New Roman"/>
          <w:b w:val="false"/>
          <w:i w:val="false"/>
          <w:color w:val="000000"/>
          <w:sz w:val="28"/>
        </w:rPr>
        <w:t xml:space="preserve">
      4) пороговая операция – операция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 и равная либо превышающая установленную Законом о ПОД/ФТ пороговую сумму;</w:t>
      </w:r>
    </w:p>
    <w:bookmarkEnd w:id="10"/>
    <w:bookmarkStart w:name="z15" w:id="11"/>
    <w:p>
      <w:pPr>
        <w:spacing w:after="0"/>
        <w:ind w:left="0"/>
        <w:jc w:val="both"/>
      </w:pPr>
      <w:r>
        <w:rPr>
          <w:rFonts w:ascii="Times New Roman"/>
          <w:b w:val="false"/>
          <w:i w:val="false"/>
          <w:color w:val="000000"/>
          <w:sz w:val="28"/>
        </w:rPr>
        <w:t>
      5) деловые отношения – отношения по предоставлению фондом клиенту услуг, относящихся к деятельности по привлечению пенсионных взносов и пенсионным выплатам.</w:t>
      </w:r>
    </w:p>
    <w:bookmarkEnd w:id="11"/>
    <w:bookmarkStart w:name="z16" w:id="12"/>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и финансированию терроризма (далее - ПОД/ФТ) осуществляется фондом в целях:</w:t>
      </w:r>
    </w:p>
    <w:bookmarkEnd w:id="12"/>
    <w:p>
      <w:pPr>
        <w:spacing w:after="0"/>
        <w:ind w:left="0"/>
        <w:jc w:val="both"/>
      </w:pPr>
      <w:r>
        <w:rPr>
          <w:rFonts w:ascii="Times New Roman"/>
          <w:b w:val="false"/>
          <w:i w:val="false"/>
          <w:color w:val="000000"/>
          <w:sz w:val="28"/>
        </w:rPr>
        <w:t>
      1) обеспечения выполнения фондом требований Закона о ПОД/ФТ;</w:t>
      </w:r>
    </w:p>
    <w:p>
      <w:pPr>
        <w:spacing w:after="0"/>
        <w:ind w:left="0"/>
        <w:jc w:val="both"/>
      </w:pPr>
      <w:r>
        <w:rPr>
          <w:rFonts w:ascii="Times New Roman"/>
          <w:b w:val="false"/>
          <w:i w:val="false"/>
          <w:color w:val="000000"/>
          <w:sz w:val="28"/>
        </w:rPr>
        <w:t>
      2) поддержания эффективности системы внутреннего контроля фонда на уровне, достаточном для управления рисками ОД/ФТ и сопряженными рисками (операционного, репутационного);</w:t>
      </w:r>
    </w:p>
    <w:p>
      <w:pPr>
        <w:spacing w:after="0"/>
        <w:ind w:left="0"/>
        <w:jc w:val="both"/>
      </w:pPr>
      <w:r>
        <w:rPr>
          <w:rFonts w:ascii="Times New Roman"/>
          <w:b w:val="false"/>
          <w:i w:val="false"/>
          <w:color w:val="000000"/>
          <w:sz w:val="28"/>
        </w:rPr>
        <w:t>
      3) исключения вовлечения фонда, его должностных лиц и работников в процессы ОД/ФТ.</w:t>
      </w:r>
    </w:p>
    <w:bookmarkStart w:name="z17" w:id="13"/>
    <w:p>
      <w:pPr>
        <w:spacing w:after="0"/>
        <w:ind w:left="0"/>
        <w:jc w:val="both"/>
      </w:pPr>
      <w:r>
        <w:rPr>
          <w:rFonts w:ascii="Times New Roman"/>
          <w:b w:val="false"/>
          <w:i w:val="false"/>
          <w:color w:val="000000"/>
          <w:sz w:val="28"/>
        </w:rPr>
        <w:t>
      4. В рамках организации внутреннего контроля в целях ПОД/ФТ в фонде разрабатываются правила внутреннего контроля, включающие требования к проведению службой внутреннего аудита фонда оценки эффективности внутреннего контроля в целях ПОД/ФТ.</w:t>
      </w:r>
    </w:p>
    <w:bookmarkEnd w:id="13"/>
    <w:p>
      <w:pPr>
        <w:spacing w:after="0"/>
        <w:ind w:left="0"/>
        <w:jc w:val="both"/>
      </w:pPr>
      <w:r>
        <w:rPr>
          <w:rFonts w:ascii="Times New Roman"/>
          <w:b w:val="false"/>
          <w:i w:val="false"/>
          <w:color w:val="000000"/>
          <w:sz w:val="28"/>
        </w:rPr>
        <w:t xml:space="preserve">
      Правила внутреннего контроля состоят из программ,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о ПОД/ФТ, разрабатываются фондом самостоятельно в соответствии с Требованиями и являются внутренним документом фонда либо совокупностью таких документов.</w:t>
      </w:r>
    </w:p>
    <w:bookmarkStart w:name="z18" w:id="14"/>
    <w:p>
      <w:pPr>
        <w:spacing w:after="0"/>
        <w:ind w:left="0"/>
        <w:jc w:val="left"/>
      </w:pPr>
      <w:r>
        <w:rPr>
          <w:rFonts w:ascii="Times New Roman"/>
          <w:b/>
          <w:i w:val="false"/>
          <w:color w:val="000000"/>
        </w:rPr>
        <w:t xml:space="preserve"> 2. Организация внутренней системы ПОД/ФТ</w:t>
      </w:r>
      <w:r>
        <w:br/>
      </w:r>
      <w:r>
        <w:rPr>
          <w:rFonts w:ascii="Times New Roman"/>
          <w:b/>
          <w:i w:val="false"/>
          <w:color w:val="000000"/>
        </w:rPr>
        <w:t>и программа организации внутреннего контроля в целях ПОД/ФТ</w:t>
      </w:r>
    </w:p>
    <w:bookmarkEnd w:id="14"/>
    <w:bookmarkStart w:name="z19" w:id="15"/>
    <w:p>
      <w:pPr>
        <w:spacing w:after="0"/>
        <w:ind w:left="0"/>
        <w:jc w:val="both"/>
      </w:pPr>
      <w:r>
        <w:rPr>
          <w:rFonts w:ascii="Times New Roman"/>
          <w:b w:val="false"/>
          <w:i w:val="false"/>
          <w:color w:val="000000"/>
          <w:sz w:val="28"/>
        </w:rPr>
        <w:t>
      5. В порядке, установленном внутренними документами фонда, в фонде назначается должностное лицо, ответственное за осуществление мониторинга за соблюдением правил внутреннего контроля в фонде (далее - ответственный работник), а также определяются работники подразделения и организации, в компетенцию которых входят вопросы ПОД/ФТ (далее – подразделение по ПОД/ФТ).</w:t>
      </w:r>
    </w:p>
    <w:bookmarkEnd w:id="15"/>
    <w:bookmarkStart w:name="z20" w:id="16"/>
    <w:p>
      <w:pPr>
        <w:spacing w:after="0"/>
        <w:ind w:left="0"/>
        <w:jc w:val="both"/>
      </w:pPr>
      <w:r>
        <w:rPr>
          <w:rFonts w:ascii="Times New Roman"/>
          <w:b w:val="false"/>
          <w:i w:val="false"/>
          <w:color w:val="000000"/>
          <w:sz w:val="28"/>
        </w:rPr>
        <w:t>
      6. Требованиями к ответственному работнику являются:</w:t>
      </w:r>
    </w:p>
    <w:bookmarkEnd w:id="16"/>
    <w:p>
      <w:pPr>
        <w:spacing w:after="0"/>
        <w:ind w:left="0"/>
        <w:jc w:val="both"/>
      </w:pPr>
      <w:r>
        <w:rPr>
          <w:rFonts w:ascii="Times New Roman"/>
          <w:b w:val="false"/>
          <w:i w:val="false"/>
          <w:color w:val="000000"/>
          <w:sz w:val="28"/>
        </w:rPr>
        <w:t>
      1) наличие высшего образования;</w:t>
      </w:r>
    </w:p>
    <w:p>
      <w:pPr>
        <w:spacing w:after="0"/>
        <w:ind w:left="0"/>
        <w:jc w:val="both"/>
      </w:pPr>
      <w:r>
        <w:rPr>
          <w:rFonts w:ascii="Times New Roman"/>
          <w:b w:val="false"/>
          <w:i w:val="false"/>
          <w:color w:val="000000"/>
          <w:sz w:val="28"/>
        </w:rPr>
        <w:t>
      2) наличие стажа работы на должности руководителя подразделения, связанного с предоставлением услуг фонда,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w:t>
      </w:r>
    </w:p>
    <w:p>
      <w:pPr>
        <w:spacing w:after="0"/>
        <w:ind w:left="0"/>
        <w:jc w:val="both"/>
      </w:pPr>
      <w:r>
        <w:rPr>
          <w:rFonts w:ascii="Times New Roman"/>
          <w:b w:val="false"/>
          <w:i w:val="false"/>
          <w:color w:val="000000"/>
          <w:sz w:val="28"/>
        </w:rPr>
        <w:t xml:space="preserve">
      3) наличие безупречной деловой репутации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Start w:name="z21" w:id="17"/>
    <w:p>
      <w:pPr>
        <w:spacing w:after="0"/>
        <w:ind w:left="0"/>
        <w:jc w:val="both"/>
      </w:pPr>
      <w:r>
        <w:rPr>
          <w:rFonts w:ascii="Times New Roman"/>
          <w:b w:val="false"/>
          <w:i w:val="false"/>
          <w:color w:val="000000"/>
          <w:sz w:val="28"/>
        </w:rPr>
        <w:t>
      7. Программа организации внутреннего контроля в целях ПОД/ФТ включает, но не ограничивается:</w:t>
      </w:r>
    </w:p>
    <w:bookmarkEnd w:id="17"/>
    <w:p>
      <w:pPr>
        <w:spacing w:after="0"/>
        <w:ind w:left="0"/>
        <w:jc w:val="both"/>
      </w:pPr>
      <w:r>
        <w:rPr>
          <w:rFonts w:ascii="Times New Roman"/>
          <w:b w:val="false"/>
          <w:i w:val="false"/>
          <w:color w:val="000000"/>
          <w:sz w:val="28"/>
        </w:rPr>
        <w:t>
      1) описание функций подразделения по ПОД/ФТ, в том числе, порядок взаимодействия с другими подразделениями и персоналом фонда, филиалами при осуществлении внутреннего контроля в целях ПОД/ФТ, а также функций, полномочий ответственного работника, порядок взаимодействия ответственного работника с органом управления и исполнительным органом фонда;</w:t>
      </w:r>
    </w:p>
    <w:p>
      <w:pPr>
        <w:spacing w:after="0"/>
        <w:ind w:left="0"/>
        <w:jc w:val="both"/>
      </w:pPr>
      <w:r>
        <w:rPr>
          <w:rFonts w:ascii="Times New Roman"/>
          <w:b w:val="false"/>
          <w:i w:val="false"/>
          <w:color w:val="000000"/>
          <w:sz w:val="28"/>
        </w:rPr>
        <w:t xml:space="preserve">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 и передачи сообщений в уполномоченный государственный орган, осуществляющий финансовый мониторинг и принимающий иные меры по ПОД/ФТ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ПОД/ФТ (далее – уполномоченный орган по финансовому мониторингу), в том числе сведения об их разработчиках;</w:t>
      </w:r>
    </w:p>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w:t>
      </w:r>
    </w:p>
    <w:p>
      <w:pPr>
        <w:spacing w:after="0"/>
        <w:ind w:left="0"/>
        <w:jc w:val="both"/>
      </w:pPr>
      <w:r>
        <w:rPr>
          <w:rFonts w:ascii="Times New Roman"/>
          <w:b w:val="false"/>
          <w:i w:val="false"/>
          <w:color w:val="000000"/>
          <w:sz w:val="28"/>
        </w:rPr>
        <w:t>
      4) порядок информирования работниками фонда, в том числе ответственным работником, органа управления и исполнительного органа фонда о ставших им известными фактах нарушения Закона о ПОД/ФТ, а также правил внутреннего контроля, допущенных работниками фонда;</w:t>
      </w:r>
    </w:p>
    <w:p>
      <w:pPr>
        <w:spacing w:after="0"/>
        <w:ind w:left="0"/>
        <w:jc w:val="both"/>
      </w:pPr>
      <w:r>
        <w:rPr>
          <w:rFonts w:ascii="Times New Roman"/>
          <w:b w:val="false"/>
          <w:i w:val="false"/>
          <w:color w:val="000000"/>
          <w:sz w:val="28"/>
        </w:rPr>
        <w:t xml:space="preserve">
      5) описание требований по ПОД/ФТ (при наличии), установленных юридическим лицом, которое имеет контроль над фондом (родительской организацией фонда); </w:t>
      </w:r>
    </w:p>
    <w:p>
      <w:pPr>
        <w:spacing w:after="0"/>
        <w:ind w:left="0"/>
        <w:jc w:val="both"/>
      </w:pPr>
      <w:r>
        <w:rPr>
          <w:rFonts w:ascii="Times New Roman"/>
          <w:b w:val="false"/>
          <w:i w:val="false"/>
          <w:color w:val="000000"/>
          <w:sz w:val="28"/>
        </w:rPr>
        <w:t>
      6) порядок подготовки и представления органу управления и исполнительному органу фонда управленческой отчетности по результатам оценки эффективности внутреннего контроля в целях ПОД/ФТ службой внутреннего аудита фонда.</w:t>
      </w:r>
    </w:p>
    <w:bookmarkStart w:name="z22" w:id="18"/>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 включают, но не ограничиваются:</w:t>
      </w:r>
    </w:p>
    <w:bookmarkEnd w:id="18"/>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фонда правил внутреннего контроля и (или) изменений (дополнений) к ним, а также мониторинга за их соблюдением в фонде;</w:t>
      </w:r>
    </w:p>
    <w:p>
      <w:pPr>
        <w:spacing w:after="0"/>
        <w:ind w:left="0"/>
        <w:jc w:val="both"/>
      </w:pPr>
      <w:r>
        <w:rPr>
          <w:rFonts w:ascii="Times New Roman"/>
          <w:b w:val="false"/>
          <w:i w:val="false"/>
          <w:color w:val="000000"/>
          <w:sz w:val="28"/>
        </w:rPr>
        <w:t>
      2) организация представления и контроль за представлением сообщений в уполномоченный орган по финансовому мониторингу в соответствии с Законом о ПОД/ФТ;</w:t>
      </w:r>
    </w:p>
    <w:p>
      <w:pPr>
        <w:spacing w:after="0"/>
        <w:ind w:left="0"/>
        <w:jc w:val="both"/>
      </w:pPr>
      <w:r>
        <w:rPr>
          <w:rFonts w:ascii="Times New Roman"/>
          <w:b w:val="false"/>
          <w:i w:val="false"/>
          <w:color w:val="000000"/>
          <w:sz w:val="28"/>
        </w:rPr>
        <w:t xml:space="preserve">
      3)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фонда; </w:t>
      </w:r>
    </w:p>
    <w:p>
      <w:pPr>
        <w:spacing w:after="0"/>
        <w:ind w:left="0"/>
        <w:jc w:val="both"/>
      </w:pPr>
      <w:r>
        <w:rPr>
          <w:rFonts w:ascii="Times New Roman"/>
          <w:b w:val="false"/>
          <w:i w:val="false"/>
          <w:color w:val="000000"/>
          <w:sz w:val="28"/>
        </w:rPr>
        <w:t xml:space="preserve">
      4) принятие либо согласование решений об отказе от проведения операций клиентов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 (или) договорами;</w:t>
      </w:r>
    </w:p>
    <w:p>
      <w:pPr>
        <w:spacing w:after="0"/>
        <w:ind w:left="0"/>
        <w:jc w:val="both"/>
      </w:pPr>
      <w:r>
        <w:rPr>
          <w:rFonts w:ascii="Times New Roman"/>
          <w:b w:val="false"/>
          <w:i w:val="false"/>
          <w:color w:val="000000"/>
          <w:sz w:val="28"/>
        </w:rPr>
        <w:t>
      5) направление запросов уполномоченному органу фонда для принятия решения об установлении, продолжении либо прекращении деловых отношений с клиентами в случаях и порядке, предусмотренных Законом о ПОД/ФТ и (или) внутренними документами фонда;</w:t>
      </w:r>
    </w:p>
    <w:p>
      <w:pPr>
        <w:spacing w:after="0"/>
        <w:ind w:left="0"/>
        <w:jc w:val="both"/>
      </w:pPr>
      <w:r>
        <w:rPr>
          <w:rFonts w:ascii="Times New Roman"/>
          <w:b w:val="false"/>
          <w:i w:val="false"/>
          <w:color w:val="000000"/>
          <w:sz w:val="28"/>
        </w:rPr>
        <w:t>
      6) информирование уполномоченного органа фонда о выявленных нарушениях правил внутреннего контроля в порядке, предусмотренном внутренними документами фонда;</w:t>
      </w:r>
    </w:p>
    <w:p>
      <w:pPr>
        <w:spacing w:after="0"/>
        <w:ind w:left="0"/>
        <w:jc w:val="both"/>
      </w:pPr>
      <w:r>
        <w:rPr>
          <w:rFonts w:ascii="Times New Roman"/>
          <w:b w:val="false"/>
          <w:i w:val="false"/>
          <w:color w:val="000000"/>
          <w:sz w:val="28"/>
        </w:rPr>
        <w:t>
      7) подготовка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 для формирования отчетов органу управления фонда.</w:t>
      </w:r>
    </w:p>
    <w:bookmarkStart w:name="z23" w:id="19"/>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 наделяются следующими полномочиями, включая, но не ограничиваясь:</w:t>
      </w:r>
    </w:p>
    <w:bookmarkEnd w:id="19"/>
    <w:p>
      <w:pPr>
        <w:spacing w:after="0"/>
        <w:ind w:left="0"/>
        <w:jc w:val="both"/>
      </w:pPr>
      <w:r>
        <w:rPr>
          <w:rFonts w:ascii="Times New Roman"/>
          <w:b w:val="false"/>
          <w:i w:val="false"/>
          <w:color w:val="000000"/>
          <w:sz w:val="28"/>
        </w:rPr>
        <w:t xml:space="preserve">
      1) получение доступа ко всем помещениям фонда,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фонда; </w:t>
      </w:r>
    </w:p>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p>
      <w:pPr>
        <w:spacing w:after="0"/>
        <w:ind w:left="0"/>
        <w:jc w:val="both"/>
      </w:pPr>
      <w:r>
        <w:rPr>
          <w:rFonts w:ascii="Times New Roman"/>
          <w:b w:val="false"/>
          <w:i w:val="false"/>
          <w:color w:val="000000"/>
          <w:sz w:val="28"/>
        </w:rPr>
        <w:t>
      3) обеспечение сохранности получаемых от подразделений фонда документов и файлов.</w:t>
      </w:r>
    </w:p>
    <w:bookmarkStart w:name="z24" w:id="20"/>
    <w:p>
      <w:pPr>
        <w:spacing w:after="0"/>
        <w:ind w:left="0"/>
        <w:jc w:val="both"/>
      </w:pPr>
      <w:r>
        <w:rPr>
          <w:rFonts w:ascii="Times New Roman"/>
          <w:b w:val="false"/>
          <w:i w:val="false"/>
          <w:color w:val="000000"/>
          <w:sz w:val="28"/>
        </w:rPr>
        <w:t xml:space="preserve">
      10. При наличии в филиалах фонда работников, на которых полностью или частично возложены функции и полномочия,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Требований, координацию деятельности таких работников осуществляет ответственный работник.</w:t>
      </w:r>
    </w:p>
    <w:bookmarkEnd w:id="20"/>
    <w:bookmarkStart w:name="z25" w:id="21"/>
    <w:p>
      <w:pPr>
        <w:spacing w:after="0"/>
        <w:ind w:left="0"/>
        <w:jc w:val="both"/>
      </w:pPr>
      <w:r>
        <w:rPr>
          <w:rFonts w:ascii="Times New Roman"/>
          <w:b w:val="false"/>
          <w:i w:val="false"/>
          <w:color w:val="000000"/>
          <w:sz w:val="28"/>
        </w:rPr>
        <w:t xml:space="preserve">
      11. Функции ответственного работника, работников подразделения по ПОД/ФТ, а также работников фонда, на которых возложены функции, предусмотренные </w:t>
      </w:r>
      <w:r>
        <w:rPr>
          <w:rFonts w:ascii="Times New Roman"/>
          <w:b w:val="false"/>
          <w:i w:val="false"/>
          <w:color w:val="000000"/>
          <w:sz w:val="28"/>
        </w:rPr>
        <w:t>пунктом 8</w:t>
      </w:r>
      <w:r>
        <w:rPr>
          <w:rFonts w:ascii="Times New Roman"/>
          <w:b w:val="false"/>
          <w:i w:val="false"/>
          <w:color w:val="000000"/>
          <w:sz w:val="28"/>
        </w:rPr>
        <w:t xml:space="preserve"> Требований, не совмещаются с функциями службы внутреннего аудита, а также функциями подразделений, осуществляющих операционную (текущую) деятельность фонда.</w:t>
      </w:r>
    </w:p>
    <w:bookmarkEnd w:id="21"/>
    <w:bookmarkStart w:name="z26" w:id="22"/>
    <w:p>
      <w:pPr>
        <w:spacing w:after="0"/>
        <w:ind w:left="0"/>
        <w:jc w:val="both"/>
      </w:pPr>
      <w:r>
        <w:rPr>
          <w:rFonts w:ascii="Times New Roman"/>
          <w:b w:val="false"/>
          <w:i w:val="false"/>
          <w:color w:val="000000"/>
          <w:sz w:val="28"/>
        </w:rPr>
        <w:t>
      12. Фонд для автоматизации процессов по вопросам внутреннего контроля в целях ПОД/ФТ использует автоматизированные информационные системы, соответствующие следующим требованиям:</w:t>
      </w:r>
    </w:p>
    <w:bookmarkEnd w:id="22"/>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p>
      <w:pPr>
        <w:spacing w:after="0"/>
        <w:ind w:left="0"/>
        <w:jc w:val="both"/>
      </w:pPr>
      <w:r>
        <w:rPr>
          <w:rFonts w:ascii="Times New Roman"/>
          <w:b w:val="false"/>
          <w:i w:val="false"/>
          <w:color w:val="000000"/>
          <w:sz w:val="28"/>
        </w:rPr>
        <w:t>
      2) выявление пороговых, необычных и подозрительных операций по заранее заданным критериям с учетом требований законодательства в сфере ПОД/ФТ, а также результатов оценки степени подверженности услуг фонда рискам ОД/ФТ;</w:t>
      </w:r>
    </w:p>
    <w:p>
      <w:pPr>
        <w:spacing w:after="0"/>
        <w:ind w:left="0"/>
        <w:jc w:val="both"/>
      </w:pPr>
      <w:r>
        <w:rPr>
          <w:rFonts w:ascii="Times New Roman"/>
          <w:b w:val="false"/>
          <w:i w:val="false"/>
          <w:color w:val="000000"/>
          <w:sz w:val="28"/>
        </w:rPr>
        <w:t>
      3)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 по финансовому мониторингу;</w:t>
      </w:r>
    </w:p>
    <w:p>
      <w:pPr>
        <w:spacing w:after="0"/>
        <w:ind w:left="0"/>
        <w:jc w:val="both"/>
      </w:pPr>
      <w:r>
        <w:rPr>
          <w:rFonts w:ascii="Times New Roman"/>
          <w:b w:val="false"/>
          <w:i w:val="false"/>
          <w:color w:val="000000"/>
          <w:sz w:val="28"/>
        </w:rPr>
        <w:t>
      4) наличие системы резервного копирования и хранения информации;</w:t>
      </w:r>
    </w:p>
    <w:p>
      <w:pPr>
        <w:spacing w:after="0"/>
        <w:ind w:left="0"/>
        <w:jc w:val="both"/>
      </w:pPr>
      <w:r>
        <w:rPr>
          <w:rFonts w:ascii="Times New Roman"/>
          <w:b w:val="false"/>
          <w:i w:val="false"/>
          <w:color w:val="000000"/>
          <w:sz w:val="28"/>
        </w:rPr>
        <w:t>
      5) ведение протокола работы каждого пользователя, защищенного от модификации.</w:t>
      </w:r>
    </w:p>
    <w:bookmarkStart w:name="z27" w:id="23"/>
    <w:p>
      <w:pPr>
        <w:spacing w:after="0"/>
        <w:ind w:left="0"/>
        <w:jc w:val="left"/>
      </w:pPr>
      <w:r>
        <w:rPr>
          <w:rFonts w:ascii="Times New Roman"/>
          <w:b/>
          <w:i w:val="false"/>
          <w:color w:val="000000"/>
        </w:rPr>
        <w:t xml:space="preserve"> 3. Программа управления рисками ОД/ФТ</w:t>
      </w:r>
    </w:p>
    <w:bookmarkEnd w:id="23"/>
    <w:bookmarkStart w:name="z28" w:id="24"/>
    <w:p>
      <w:pPr>
        <w:spacing w:after="0"/>
        <w:ind w:left="0"/>
        <w:jc w:val="both"/>
      </w:pPr>
      <w:r>
        <w:rPr>
          <w:rFonts w:ascii="Times New Roman"/>
          <w:b w:val="false"/>
          <w:i w:val="false"/>
          <w:color w:val="000000"/>
          <w:sz w:val="28"/>
        </w:rPr>
        <w:t>
      13. В целях организации управления ОД/ФТ фонд разрабатывает программу управления рисками ОД/ФТ.</w:t>
      </w:r>
    </w:p>
    <w:bookmarkEnd w:id="24"/>
    <w:bookmarkStart w:name="z29" w:id="25"/>
    <w:p>
      <w:pPr>
        <w:spacing w:after="0"/>
        <w:ind w:left="0"/>
        <w:jc w:val="both"/>
      </w:pPr>
      <w:r>
        <w:rPr>
          <w:rFonts w:ascii="Times New Roman"/>
          <w:b w:val="false"/>
          <w:i w:val="false"/>
          <w:color w:val="000000"/>
          <w:sz w:val="28"/>
        </w:rPr>
        <w:t>
      14. Фонд на ежегодной основе осуществляет оценку степени подверженности услуг фонда рискам ОД/ФТ с учетом, как минимум, следующих специфических категорий рисков: риск по типу клиентов, страновой (географический) риск и риск услуги и (или) способа ее предоставления.</w:t>
      </w:r>
    </w:p>
    <w:bookmarkEnd w:id="25"/>
    <w:p>
      <w:pPr>
        <w:spacing w:after="0"/>
        <w:ind w:left="0"/>
        <w:jc w:val="both"/>
      </w:pPr>
      <w:r>
        <w:rPr>
          <w:rFonts w:ascii="Times New Roman"/>
          <w:b w:val="false"/>
          <w:i w:val="false"/>
          <w:color w:val="000000"/>
          <w:sz w:val="28"/>
        </w:rPr>
        <w:t>
      Оценка степени подверженности услуг фонда рискам ОД/ФТ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отказ от предоставления услуг.</w:t>
      </w:r>
    </w:p>
    <w:bookmarkStart w:name="z30" w:id="26"/>
    <w:p>
      <w:pPr>
        <w:spacing w:after="0"/>
        <w:ind w:left="0"/>
        <w:jc w:val="both"/>
      </w:pPr>
      <w:r>
        <w:rPr>
          <w:rFonts w:ascii="Times New Roman"/>
          <w:b w:val="false"/>
          <w:i w:val="false"/>
          <w:color w:val="000000"/>
          <w:sz w:val="28"/>
        </w:rPr>
        <w:t xml:space="preserve">
      15. Типы клиентов, чей статус и (или) чья деятельность повышают риск ОД/ФТ, включают, но не ограничиваются: </w:t>
      </w:r>
    </w:p>
    <w:bookmarkEnd w:id="26"/>
    <w:p>
      <w:pPr>
        <w:spacing w:after="0"/>
        <w:ind w:left="0"/>
        <w:jc w:val="both"/>
      </w:pPr>
      <w:r>
        <w:rPr>
          <w:rFonts w:ascii="Times New Roman"/>
          <w:b w:val="false"/>
          <w:i w:val="false"/>
          <w:color w:val="000000"/>
          <w:sz w:val="28"/>
        </w:rPr>
        <w:t>
      1) иностранные публичные должностные лица, их близкие родственники и представители;</w:t>
      </w:r>
    </w:p>
    <w:p>
      <w:pPr>
        <w:spacing w:after="0"/>
        <w:ind w:left="0"/>
        <w:jc w:val="both"/>
      </w:pPr>
      <w:r>
        <w:rPr>
          <w:rFonts w:ascii="Times New Roman"/>
          <w:b w:val="false"/>
          <w:i w:val="false"/>
          <w:color w:val="000000"/>
          <w:sz w:val="28"/>
        </w:rPr>
        <w:t>
      2) юридические лица и индивидуальные предприниматели, деятельность которых связана с интенсивным оборотом наличных денег, в том числе:</w:t>
      </w:r>
    </w:p>
    <w:p>
      <w:pPr>
        <w:spacing w:after="0"/>
        <w:ind w:left="0"/>
        <w:jc w:val="both"/>
      </w:pPr>
      <w:r>
        <w:rPr>
          <w:rFonts w:ascii="Times New Roman"/>
          <w:b w:val="false"/>
          <w:i w:val="false"/>
          <w:color w:val="000000"/>
          <w:sz w:val="28"/>
        </w:rPr>
        <w:t>
      юридические лица, исключительным видом деятельности которых является организация обменных операций с наличной иностранной валютой;</w:t>
      </w:r>
    </w:p>
    <w:p>
      <w:pPr>
        <w:spacing w:after="0"/>
        <w:ind w:left="0"/>
        <w:jc w:val="both"/>
      </w:pPr>
      <w:r>
        <w:rPr>
          <w:rFonts w:ascii="Times New Roman"/>
          <w:b w:val="false"/>
          <w:i w:val="false"/>
          <w:color w:val="000000"/>
          <w:sz w:val="28"/>
        </w:rPr>
        <w:t>
      организации, исключительной деятельностью которых является инкассация банкнот, монет и ценностей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микрофинансовые организации;</w:t>
      </w:r>
    </w:p>
    <w:p>
      <w:pPr>
        <w:spacing w:after="0"/>
        <w:ind w:left="0"/>
        <w:jc w:val="both"/>
      </w:pPr>
      <w:r>
        <w:rPr>
          <w:rFonts w:ascii="Times New Roman"/>
          <w:b w:val="false"/>
          <w:i w:val="false"/>
          <w:color w:val="000000"/>
          <w:sz w:val="28"/>
        </w:rPr>
        <w:t>
      юридические лица, зарегистрированные в качестве ломбардов;</w:t>
      </w:r>
    </w:p>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p>
      <w:pPr>
        <w:spacing w:after="0"/>
        <w:ind w:left="0"/>
        <w:jc w:val="both"/>
      </w:pPr>
      <w:r>
        <w:rPr>
          <w:rFonts w:ascii="Times New Roman"/>
          <w:b w:val="false"/>
          <w:i w:val="false"/>
          <w:color w:val="000000"/>
          <w:sz w:val="28"/>
        </w:rPr>
        <w:t xml:space="preserve">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 </w:t>
      </w:r>
    </w:p>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p>
      <w:pPr>
        <w:spacing w:after="0"/>
        <w:ind w:left="0"/>
        <w:jc w:val="both"/>
      </w:pPr>
      <w:r>
        <w:rPr>
          <w:rFonts w:ascii="Times New Roman"/>
          <w:b w:val="false"/>
          <w:i w:val="false"/>
          <w:color w:val="000000"/>
          <w:sz w:val="28"/>
        </w:rPr>
        <w:t>
      3) брокеры-дилеры, управляющие инвестиционным портфелем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4) страховые (перестраховочные) организации, страховые брокеры, осуществляющие деятельность по отрасли "страхование жизни"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5) лица, предоставляющие услуги по финансовому лизингу (за исключением дочерних организаций банков второго уровня, которые соблюдают требования по ПОД/ФТ, установленные банками второго уровня);</w:t>
      </w:r>
    </w:p>
    <w:p>
      <w:pPr>
        <w:spacing w:after="0"/>
        <w:ind w:left="0"/>
        <w:jc w:val="both"/>
      </w:pPr>
      <w:r>
        <w:rPr>
          <w:rFonts w:ascii="Times New Roman"/>
          <w:b w:val="false"/>
          <w:i w:val="false"/>
          <w:color w:val="000000"/>
          <w:sz w:val="28"/>
        </w:rPr>
        <w:t>
      6) кредитные товарищества;</w:t>
      </w:r>
    </w:p>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p>
      <w:pPr>
        <w:spacing w:after="0"/>
        <w:ind w:left="0"/>
        <w:jc w:val="both"/>
      </w:pPr>
      <w:r>
        <w:rPr>
          <w:rFonts w:ascii="Times New Roman"/>
          <w:b w:val="false"/>
          <w:i w:val="false"/>
          <w:color w:val="000000"/>
          <w:sz w:val="28"/>
        </w:rPr>
        <w:t>
      9) лица, деятельность которых связана с производством и (или) торговлей оружием, взрывчатыми веществами;</w:t>
      </w:r>
    </w:p>
    <w:p>
      <w:pPr>
        <w:spacing w:after="0"/>
        <w:ind w:left="0"/>
        <w:jc w:val="both"/>
      </w:pPr>
      <w:r>
        <w:rPr>
          <w:rFonts w:ascii="Times New Roman"/>
          <w:b w:val="false"/>
          <w:i w:val="false"/>
          <w:color w:val="000000"/>
          <w:sz w:val="28"/>
        </w:rPr>
        <w:t>
      10) лица, деятельность которых связана с добычей и (или) обработкой, а также куплей-продажей драгоценных металлов, драгоценных камней либо изделий из них;</w:t>
      </w:r>
    </w:p>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p>
      <w:pPr>
        <w:spacing w:after="0"/>
        <w:ind w:left="0"/>
        <w:jc w:val="both"/>
      </w:pPr>
      <w:r>
        <w:rPr>
          <w:rFonts w:ascii="Times New Roman"/>
          <w:b w:val="false"/>
          <w:i w:val="false"/>
          <w:color w:val="000000"/>
          <w:sz w:val="28"/>
        </w:rPr>
        <w:t xml:space="preserve">
      12) лица, расположенные (зарегистрированные) в иностранных государствах, указанных в </w:t>
      </w:r>
      <w:r>
        <w:rPr>
          <w:rFonts w:ascii="Times New Roman"/>
          <w:b w:val="false"/>
          <w:i w:val="false"/>
          <w:color w:val="000000"/>
          <w:sz w:val="28"/>
        </w:rPr>
        <w:t>пункте 16</w:t>
      </w:r>
      <w:r>
        <w:rPr>
          <w:rFonts w:ascii="Times New Roman"/>
          <w:b w:val="false"/>
          <w:i w:val="false"/>
          <w:color w:val="000000"/>
          <w:sz w:val="28"/>
        </w:rPr>
        <w:t xml:space="preserve"> Требований, а также расположенные в Республике Казахстан филиалы и представительства таких лиц;</w:t>
      </w:r>
    </w:p>
    <w:p>
      <w:pPr>
        <w:spacing w:after="0"/>
        <w:ind w:left="0"/>
        <w:jc w:val="both"/>
      </w:pPr>
      <w:r>
        <w:rPr>
          <w:rFonts w:ascii="Times New Roman"/>
          <w:b w:val="false"/>
          <w:i w:val="false"/>
          <w:color w:val="000000"/>
          <w:sz w:val="28"/>
        </w:rPr>
        <w:t>
      13) получатели пенсионных выплат, от имени которых выступают их представители по доверенности.</w:t>
      </w:r>
    </w:p>
    <w:bookmarkStart w:name="z31" w:id="27"/>
    <w:p>
      <w:pPr>
        <w:spacing w:after="0"/>
        <w:ind w:left="0"/>
        <w:jc w:val="both"/>
      </w:pPr>
      <w:r>
        <w:rPr>
          <w:rFonts w:ascii="Times New Roman"/>
          <w:b w:val="false"/>
          <w:i w:val="false"/>
          <w:color w:val="000000"/>
          <w:sz w:val="28"/>
        </w:rPr>
        <w:t>
      16. Фонд осуществляет оценку странового (географического) риска, связанного с предоставлением услуг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27"/>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 являются:</w:t>
      </w:r>
    </w:p>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p>
      <w:pPr>
        <w:spacing w:after="0"/>
        <w:ind w:left="0"/>
        <w:jc w:val="both"/>
      </w:pPr>
      <w:r>
        <w:rPr>
          <w:rFonts w:ascii="Times New Roman"/>
          <w:b w:val="false"/>
          <w:i w:val="false"/>
          <w:color w:val="000000"/>
          <w:sz w:val="28"/>
        </w:rPr>
        <w:t xml:space="preserve">
      3) иностранные государства (территории), включенные в </w:t>
      </w:r>
      <w:r>
        <w:rPr>
          <w:rFonts w:ascii="Times New Roman"/>
          <w:b w:val="false"/>
          <w:i w:val="false"/>
          <w:color w:val="000000"/>
          <w:sz w:val="28"/>
        </w:rPr>
        <w:t>перечень</w:t>
      </w:r>
      <w:r>
        <w:rPr>
          <w:rFonts w:ascii="Times New Roman"/>
          <w:b w:val="false"/>
          <w:i w:val="false"/>
          <w:color w:val="000000"/>
          <w:sz w:val="28"/>
        </w:rPr>
        <w:t xml:space="preserve">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утвержденный приказом исполняющего обязанности Министра финансов Республики Казахстан от 10 февраля 2010 года № 52 "Об утверждении Перечня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 (зарегистрированный в Реестре государственной регистрации нормативных правовых актов под № 6058);</w:t>
      </w:r>
    </w:p>
    <w:p>
      <w:pPr>
        <w:spacing w:after="0"/>
        <w:ind w:left="0"/>
        <w:jc w:val="both"/>
      </w:pPr>
      <w:r>
        <w:rPr>
          <w:rFonts w:ascii="Times New Roman"/>
          <w:b w:val="false"/>
          <w:i w:val="false"/>
          <w:color w:val="000000"/>
          <w:sz w:val="28"/>
        </w:rPr>
        <w:t xml:space="preserve">
      4) иностранные государства (территории), определенные фондовой биржей в качестве представляющих высокий риск ОД/ФТ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17. Услуги фонда, а также способы их предоставления, подверженные высокому риску ОД/ФТ, включают, но не ограничиваются:</w:t>
      </w:r>
    </w:p>
    <w:bookmarkEnd w:id="28"/>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персональных компьютеров, телефонов, электронных терминалов;</w:t>
      </w:r>
    </w:p>
    <w:p>
      <w:pPr>
        <w:spacing w:after="0"/>
        <w:ind w:left="0"/>
        <w:jc w:val="both"/>
      </w:pPr>
      <w:r>
        <w:rPr>
          <w:rFonts w:ascii="Times New Roman"/>
          <w:b w:val="false"/>
          <w:i w:val="false"/>
          <w:color w:val="000000"/>
          <w:sz w:val="28"/>
        </w:rPr>
        <w:t>
      2) услуги по привлечению пенсионных взносов и пенсионным выплатам за счет добровольных пенсионных взносов.</w:t>
      </w:r>
    </w:p>
    <w:bookmarkStart w:name="z33" w:id="29"/>
    <w:p>
      <w:pPr>
        <w:spacing w:after="0"/>
        <w:ind w:left="0"/>
        <w:jc w:val="both"/>
      </w:pPr>
      <w:r>
        <w:rPr>
          <w:rFonts w:ascii="Times New Roman"/>
          <w:b w:val="false"/>
          <w:i w:val="false"/>
          <w:color w:val="000000"/>
          <w:sz w:val="28"/>
        </w:rPr>
        <w:t xml:space="preserve">
      18. При оценке степени подверженности услуг фонда рискам ОД/ФТ в соответствии с категориями и факторами рисков, указанными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фондом учитываются дополнительные сведения, влияющие на итоговую степень риска, включая, но не ограничиваясь: </w:t>
      </w:r>
    </w:p>
    <w:bookmarkEnd w:id="29"/>
    <w:p>
      <w:pPr>
        <w:spacing w:after="0"/>
        <w:ind w:left="0"/>
        <w:jc w:val="both"/>
      </w:pPr>
      <w:r>
        <w:rPr>
          <w:rFonts w:ascii="Times New Roman"/>
          <w:b w:val="false"/>
          <w:i w:val="false"/>
          <w:color w:val="000000"/>
          <w:sz w:val="28"/>
        </w:rPr>
        <w:t>
      1) количество направленных фондом в уполномоченный орган по финансовому мониторингу сообщений о подозрительных операциях клиентов;</w:t>
      </w:r>
    </w:p>
    <w:p>
      <w:pPr>
        <w:spacing w:after="0"/>
        <w:ind w:left="0"/>
        <w:jc w:val="both"/>
      </w:pPr>
      <w:r>
        <w:rPr>
          <w:rFonts w:ascii="Times New Roman"/>
          <w:b w:val="false"/>
          <w:i w:val="false"/>
          <w:color w:val="000000"/>
          <w:sz w:val="28"/>
        </w:rPr>
        <w:t>
      2) количество направленных фондом в уполномоченный орган по финансовому мониторингу сообщений о пороговых операциях клиентов.</w:t>
      </w:r>
    </w:p>
    <w:bookmarkStart w:name="z34" w:id="30"/>
    <w:p>
      <w:pPr>
        <w:spacing w:after="0"/>
        <w:ind w:left="0"/>
        <w:jc w:val="both"/>
      </w:pPr>
      <w:r>
        <w:rPr>
          <w:rFonts w:ascii="Times New Roman"/>
          <w:b w:val="false"/>
          <w:i w:val="false"/>
          <w:color w:val="000000"/>
          <w:sz w:val="28"/>
        </w:rPr>
        <w:t xml:space="preserve">
      19. В рамках реализации программы управления рисками ОД/ФТ фондом принимаются меры по классификации клиентов с учетом категорий и факторов рисков,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а также иных категорий и факторов рисков, устанавливаемых фондом.</w:t>
      </w:r>
    </w:p>
    <w:bookmarkEnd w:id="30"/>
    <w:p>
      <w:pPr>
        <w:spacing w:after="0"/>
        <w:ind w:left="0"/>
        <w:jc w:val="both"/>
      </w:pPr>
      <w:r>
        <w:rPr>
          <w:rFonts w:ascii="Times New Roman"/>
          <w:b w:val="false"/>
          <w:i w:val="false"/>
          <w:color w:val="000000"/>
          <w:sz w:val="28"/>
        </w:rPr>
        <w:t>
      Уровень риска клиента (группы клиентов) устанавливается фондом по результатам анализа имеющихся у фонда сведений и информации о клиенте (клиентах) и оценивается по шкале определения уровня риска, которая состоит не менее чем из двух уровней.</w:t>
      </w:r>
    </w:p>
    <w:p>
      <w:pPr>
        <w:spacing w:after="0"/>
        <w:ind w:left="0"/>
        <w:jc w:val="both"/>
      </w:pPr>
      <w:r>
        <w:rPr>
          <w:rFonts w:ascii="Times New Roman"/>
          <w:b w:val="false"/>
          <w:i w:val="false"/>
          <w:color w:val="000000"/>
          <w:sz w:val="28"/>
        </w:rPr>
        <w:t>
      Пересмотр уровня риска клиента (группы клиентов) осуществляется фондом по мере обновления сведений о клиенте (группе клиентов).</w:t>
      </w:r>
    </w:p>
    <w:bookmarkStart w:name="z35" w:id="31"/>
    <w:p>
      <w:pPr>
        <w:spacing w:after="0"/>
        <w:ind w:left="0"/>
        <w:jc w:val="both"/>
      </w:pPr>
      <w:r>
        <w:rPr>
          <w:rFonts w:ascii="Times New Roman"/>
          <w:b w:val="false"/>
          <w:i w:val="false"/>
          <w:color w:val="000000"/>
          <w:sz w:val="28"/>
        </w:rPr>
        <w:t xml:space="preserve">
      20. Оценка риска с использованием категорий и факторов риска, указанных в </w:t>
      </w:r>
      <w:r>
        <w:rPr>
          <w:rFonts w:ascii="Times New Roman"/>
          <w:b w:val="false"/>
          <w:i w:val="false"/>
          <w:color w:val="000000"/>
          <w:sz w:val="28"/>
        </w:rPr>
        <w:t>пунктах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Требований, проводится в отношении клиентов (групп клиентов) на основе результатов мониторинга операций (деловых отношений).</w:t>
      </w:r>
    </w:p>
    <w:bookmarkEnd w:id="31"/>
    <w:p>
      <w:pPr>
        <w:spacing w:after="0"/>
        <w:ind w:left="0"/>
        <w:jc w:val="both"/>
      </w:pPr>
      <w:r>
        <w:rPr>
          <w:rFonts w:ascii="Times New Roman"/>
          <w:b w:val="false"/>
          <w:i w:val="false"/>
          <w:color w:val="000000"/>
          <w:sz w:val="28"/>
        </w:rPr>
        <w:t>
      По клиентам (группам клиентов), в отношении которых оценка риска ранее не проводилась и (или) с которыми деловые отношения ранее не устанавливались, фондом на основе данных, полученных до установления деловых отношений, проводится первоначальная оценка риска.</w:t>
      </w:r>
    </w:p>
    <w:bookmarkStart w:name="z36" w:id="32"/>
    <w:p>
      <w:pPr>
        <w:spacing w:after="0"/>
        <w:ind w:left="0"/>
        <w:jc w:val="left"/>
      </w:pPr>
      <w:r>
        <w:rPr>
          <w:rFonts w:ascii="Times New Roman"/>
          <w:b/>
          <w:i w:val="false"/>
          <w:color w:val="000000"/>
        </w:rPr>
        <w:t xml:space="preserve"> 4. Программа идентификации клиентов</w:t>
      </w:r>
    </w:p>
    <w:bookmarkEnd w:id="32"/>
    <w:bookmarkStart w:name="z37" w:id="33"/>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фонд разрабатывает программу идентификации клиентов (их представителей) и бенефициарных собственников.</w:t>
      </w:r>
    </w:p>
    <w:bookmarkEnd w:id="33"/>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(его представителе), получателе пенсионных выплат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а также получению и фиксированию иных предусмотренных Требованиями сведений о вкладчике пенсионных взносов, получателе пенсионных выплат и их представителях.</w:t>
      </w:r>
    </w:p>
    <w:p>
      <w:pPr>
        <w:spacing w:after="0"/>
        <w:ind w:left="0"/>
        <w:jc w:val="both"/>
      </w:pPr>
      <w:r>
        <w:rPr>
          <w:rFonts w:ascii="Times New Roman"/>
          <w:b w:val="false"/>
          <w:i w:val="false"/>
          <w:color w:val="000000"/>
          <w:sz w:val="28"/>
        </w:rPr>
        <w:t>
      Мероприятия по выявлению бенефициарного собственника проводятся фондом в отношении вкладчика пенсионных взносов, а при осуществлении пенсионных выплат, сформированных за счет добровольных пенсионных взносов, также в отношении получателя таких пенсионных выплат.</w:t>
      </w:r>
    </w:p>
    <w:p>
      <w:pPr>
        <w:spacing w:after="0"/>
        <w:ind w:left="0"/>
        <w:jc w:val="both"/>
      </w:pPr>
      <w:r>
        <w:rPr>
          <w:rFonts w:ascii="Times New Roman"/>
          <w:b w:val="false"/>
          <w:i w:val="false"/>
          <w:color w:val="000000"/>
          <w:sz w:val="28"/>
        </w:rPr>
        <w:t>
      В зависимости от уровня риска клиента степень проводимых фондом мероприятий выражается в упрощенной, стандартной или углубленной идентификации клиента, бенефициарного собственника.</w:t>
      </w:r>
    </w:p>
    <w:bookmarkStart w:name="z38" w:id="34"/>
    <w:p>
      <w:pPr>
        <w:spacing w:after="0"/>
        <w:ind w:left="0"/>
        <w:jc w:val="both"/>
      </w:pPr>
      <w:r>
        <w:rPr>
          <w:rFonts w:ascii="Times New Roman"/>
          <w:b w:val="false"/>
          <w:i w:val="false"/>
          <w:color w:val="000000"/>
          <w:sz w:val="28"/>
        </w:rPr>
        <w:t xml:space="preserve">
      22. С учетом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5 Закона о ПОД/ФТ фонд проводит идентификацию клиента (его представителя) и бенефициарного собственника, а также устанавливает предполагаемую цель деловых отношений в случаях:</w:t>
      </w:r>
    </w:p>
    <w:bookmarkEnd w:id="34"/>
    <w:p>
      <w:pPr>
        <w:spacing w:after="0"/>
        <w:ind w:left="0"/>
        <w:jc w:val="both"/>
      </w:pPr>
      <w:r>
        <w:rPr>
          <w:rFonts w:ascii="Times New Roman"/>
          <w:b w:val="false"/>
          <w:i w:val="false"/>
          <w:color w:val="000000"/>
          <w:sz w:val="28"/>
        </w:rPr>
        <w:t>
      1) установления деловых отношений с клиентом;</w:t>
      </w:r>
    </w:p>
    <w:p>
      <w:pPr>
        <w:spacing w:after="0"/>
        <w:ind w:left="0"/>
        <w:jc w:val="both"/>
      </w:pPr>
      <w:r>
        <w:rPr>
          <w:rFonts w:ascii="Times New Roman"/>
          <w:b w:val="false"/>
          <w:i w:val="false"/>
          <w:color w:val="000000"/>
          <w:sz w:val="28"/>
        </w:rPr>
        <w:t>
      2) совершения клиентом пороговой операции (сделки);</w:t>
      </w:r>
    </w:p>
    <w:p>
      <w:pPr>
        <w:spacing w:after="0"/>
        <w:ind w:left="0"/>
        <w:jc w:val="both"/>
      </w:pPr>
      <w:r>
        <w:rPr>
          <w:rFonts w:ascii="Times New Roman"/>
          <w:b w:val="false"/>
          <w:i w:val="false"/>
          <w:color w:val="000000"/>
          <w:sz w:val="28"/>
        </w:rPr>
        <w:t>
      3) выявления подозрительной операции (сделки) клиента;</w:t>
      </w:r>
    </w:p>
    <w:p>
      <w:pPr>
        <w:spacing w:after="0"/>
        <w:ind w:left="0"/>
        <w:jc w:val="both"/>
      </w:pPr>
      <w:r>
        <w:rPr>
          <w:rFonts w:ascii="Times New Roman"/>
          <w:b w:val="false"/>
          <w:i w:val="false"/>
          <w:color w:val="000000"/>
          <w:sz w:val="28"/>
        </w:rPr>
        <w:t>
      4) наличия оснований для сомнения в достоверности ранее полученных данных о физическом и юридическом лицах.</w:t>
      </w:r>
    </w:p>
    <w:p>
      <w:pPr>
        <w:spacing w:after="0"/>
        <w:ind w:left="0"/>
        <w:jc w:val="both"/>
      </w:pPr>
      <w:r>
        <w:rPr>
          <w:rFonts w:ascii="Times New Roman"/>
          <w:b w:val="false"/>
          <w:i w:val="false"/>
          <w:color w:val="000000"/>
          <w:sz w:val="28"/>
        </w:rPr>
        <w:t>
      При совершении клиентом операции (сделки)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3) и 4)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Start w:name="z39" w:id="35"/>
    <w:p>
      <w:pPr>
        <w:spacing w:after="0"/>
        <w:ind w:left="0"/>
        <w:jc w:val="both"/>
      </w:pPr>
      <w:r>
        <w:rPr>
          <w:rFonts w:ascii="Times New Roman"/>
          <w:b w:val="false"/>
          <w:i w:val="false"/>
          <w:color w:val="000000"/>
          <w:sz w:val="28"/>
        </w:rPr>
        <w:t xml:space="preserve">
      23. Сведения, полученные в соответствии с пунктом 22 Требований, вносятся фондом в досье клиента, которое хранится в фонде на протяжении всего периода деловых отношений с клиентом и не менее пяти лет со дня их окончания. </w:t>
      </w:r>
    </w:p>
    <w:bookmarkEnd w:id="35"/>
    <w:p>
      <w:pPr>
        <w:spacing w:after="0"/>
        <w:ind w:left="0"/>
        <w:jc w:val="both"/>
      </w:pPr>
      <w:r>
        <w:rPr>
          <w:rFonts w:ascii="Times New Roman"/>
          <w:b w:val="false"/>
          <w:i w:val="false"/>
          <w:color w:val="000000"/>
          <w:sz w:val="28"/>
        </w:rPr>
        <w:t>
      Группы клиентов, по которым фондом в соответствии внутренними документами ведутся досье, включают, но не ограничиваются:</w:t>
      </w:r>
    </w:p>
    <w:p>
      <w:pPr>
        <w:spacing w:after="0"/>
        <w:ind w:left="0"/>
        <w:jc w:val="both"/>
      </w:pPr>
      <w:r>
        <w:rPr>
          <w:rFonts w:ascii="Times New Roman"/>
          <w:b w:val="false"/>
          <w:i w:val="false"/>
          <w:color w:val="000000"/>
          <w:sz w:val="28"/>
        </w:rPr>
        <w:t>
      1) физические лица;</w:t>
      </w:r>
    </w:p>
    <w:p>
      <w:pPr>
        <w:spacing w:after="0"/>
        <w:ind w:left="0"/>
        <w:jc w:val="both"/>
      </w:pPr>
      <w:r>
        <w:rPr>
          <w:rFonts w:ascii="Times New Roman"/>
          <w:b w:val="false"/>
          <w:i w:val="false"/>
          <w:color w:val="000000"/>
          <w:sz w:val="28"/>
        </w:rPr>
        <w:t>
      2) юридические лица.</w:t>
      </w:r>
    </w:p>
    <w:p>
      <w:pPr>
        <w:spacing w:after="0"/>
        <w:ind w:left="0"/>
        <w:jc w:val="both"/>
      </w:pPr>
      <w:r>
        <w:rPr>
          <w:rFonts w:ascii="Times New Roman"/>
          <w:b w:val="false"/>
          <w:i w:val="false"/>
          <w:color w:val="000000"/>
          <w:sz w:val="28"/>
        </w:rPr>
        <w:t xml:space="preserve">
      Минимально требуемые сведения, подлежащие внесению в досье клиента, а также проверке достоверности при проведении упрощенной, стандартной или углубленной идентификации, установлены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Требованиям. </w:t>
      </w:r>
    </w:p>
    <w:bookmarkStart w:name="z40" w:id="36"/>
    <w:p>
      <w:pPr>
        <w:spacing w:after="0"/>
        <w:ind w:left="0"/>
        <w:jc w:val="both"/>
      </w:pPr>
      <w:r>
        <w:rPr>
          <w:rFonts w:ascii="Times New Roman"/>
          <w:b w:val="false"/>
          <w:i w:val="false"/>
          <w:color w:val="000000"/>
          <w:sz w:val="28"/>
        </w:rPr>
        <w:t>
      24. Упрощенная идентификация клиента проводится фондом:</w:t>
      </w:r>
    </w:p>
    <w:bookmarkEnd w:id="36"/>
    <w:p>
      <w:pPr>
        <w:spacing w:after="0"/>
        <w:ind w:left="0"/>
        <w:jc w:val="both"/>
      </w:pPr>
      <w:r>
        <w:rPr>
          <w:rFonts w:ascii="Times New Roman"/>
          <w:b w:val="false"/>
          <w:i w:val="false"/>
          <w:color w:val="000000"/>
          <w:sz w:val="28"/>
        </w:rPr>
        <w:t>
      1) при установлении деловых отношений в рамках договора о пенсионном обеспечении за счет обязательных пенсионных взносов или обязательных профессиональных пенсионных взносов;</w:t>
      </w:r>
    </w:p>
    <w:p>
      <w:pPr>
        <w:spacing w:after="0"/>
        <w:ind w:left="0"/>
        <w:jc w:val="both"/>
      </w:pPr>
      <w:r>
        <w:rPr>
          <w:rFonts w:ascii="Times New Roman"/>
          <w:b w:val="false"/>
          <w:i w:val="false"/>
          <w:color w:val="000000"/>
          <w:sz w:val="28"/>
        </w:rPr>
        <w:t>
      2) при установлении деловых отношений (открытии счета) со следующими типами клиентов:</w:t>
      </w:r>
    </w:p>
    <w:p>
      <w:pPr>
        <w:spacing w:after="0"/>
        <w:ind w:left="0"/>
        <w:jc w:val="both"/>
      </w:pPr>
      <w:r>
        <w:rPr>
          <w:rFonts w:ascii="Times New Roman"/>
          <w:b w:val="false"/>
          <w:i w:val="false"/>
          <w:color w:val="000000"/>
          <w:sz w:val="28"/>
        </w:rPr>
        <w:t>
      государственными органами Республики Казахстан, включая Национальный Банк Республики Казахстан, а также юридическими лицами, контроль над которыми осуществляется государственными органами;</w:t>
      </w:r>
    </w:p>
    <w:p>
      <w:pPr>
        <w:spacing w:after="0"/>
        <w:ind w:left="0"/>
        <w:jc w:val="both"/>
      </w:pPr>
      <w:r>
        <w:rPr>
          <w:rFonts w:ascii="Times New Roman"/>
          <w:b w:val="false"/>
          <w:i w:val="false"/>
          <w:color w:val="000000"/>
          <w:sz w:val="28"/>
        </w:rPr>
        <w:t>
      юридическими лицами, созданными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p>
      <w:pPr>
        <w:spacing w:after="0"/>
        <w:ind w:left="0"/>
        <w:jc w:val="both"/>
      </w:pPr>
      <w:r>
        <w:rPr>
          <w:rFonts w:ascii="Times New Roman"/>
          <w:b w:val="false"/>
          <w:i w:val="false"/>
          <w:color w:val="000000"/>
          <w:sz w:val="28"/>
        </w:rPr>
        <w:t>
      организациями, акции которых включены в официальный список фондовой биржи Республики Казахстан и (или) фондовой биржи иностранного государства;</w:t>
      </w:r>
    </w:p>
    <w:p>
      <w:pPr>
        <w:spacing w:after="0"/>
        <w:ind w:left="0"/>
        <w:jc w:val="both"/>
      </w:pPr>
      <w:r>
        <w:rPr>
          <w:rFonts w:ascii="Times New Roman"/>
          <w:b w:val="false"/>
          <w:i w:val="false"/>
          <w:color w:val="000000"/>
          <w:sz w:val="28"/>
        </w:rPr>
        <w:t>
      международными организациями, расположенными на территории Республики Казахстан либо участником которых является Республика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финансов РК от 10.12.2015 </w:t>
      </w:r>
      <w:r>
        <w:rPr>
          <w:rFonts w:ascii="Times New Roman"/>
          <w:b w:val="false"/>
          <w:i w:val="false"/>
          <w:color w:val="00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25. Углубленная идентификация клиента проводится фондом: </w:t>
      </w:r>
    </w:p>
    <w:bookmarkEnd w:id="37"/>
    <w:p>
      <w:pPr>
        <w:spacing w:after="0"/>
        <w:ind w:left="0"/>
        <w:jc w:val="both"/>
      </w:pPr>
      <w:r>
        <w:rPr>
          <w:rFonts w:ascii="Times New Roman"/>
          <w:b w:val="false"/>
          <w:i w:val="false"/>
          <w:color w:val="000000"/>
          <w:sz w:val="28"/>
        </w:rPr>
        <w:t>
      1) при присвоении клиенту высокого уровня риска;</w:t>
      </w:r>
    </w:p>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проведение углубленной идентификации приведет к его непреднамеренному информированию о направлении сообщения о такой операции в уполномоченный орган по финансовому мониторингу;</w:t>
      </w:r>
    </w:p>
    <w:p>
      <w:pPr>
        <w:spacing w:after="0"/>
        <w:ind w:left="0"/>
        <w:jc w:val="both"/>
      </w:pPr>
      <w:r>
        <w:rPr>
          <w:rFonts w:ascii="Times New Roman"/>
          <w:b w:val="false"/>
          <w:i w:val="false"/>
          <w:color w:val="000000"/>
          <w:sz w:val="28"/>
        </w:rPr>
        <w:t>
      3) при наличии сомнений в достоверности представленных клиентом сведений;</w:t>
      </w:r>
    </w:p>
    <w:p>
      <w:pPr>
        <w:spacing w:after="0"/>
        <w:ind w:left="0"/>
        <w:jc w:val="both"/>
      </w:pPr>
      <w:r>
        <w:rPr>
          <w:rFonts w:ascii="Times New Roman"/>
          <w:b w:val="false"/>
          <w:i w:val="false"/>
          <w:color w:val="000000"/>
          <w:sz w:val="28"/>
        </w:rPr>
        <w:t>
      4) в случаях, установленных внутренними документами фонда, в том числе по решению ответственного работника.</w:t>
      </w:r>
    </w:p>
    <w:bookmarkStart w:name="z42" w:id="38"/>
    <w:p>
      <w:pPr>
        <w:spacing w:after="0"/>
        <w:ind w:left="0"/>
        <w:jc w:val="both"/>
      </w:pPr>
      <w:r>
        <w:rPr>
          <w:rFonts w:ascii="Times New Roman"/>
          <w:b w:val="false"/>
          <w:i w:val="false"/>
          <w:color w:val="000000"/>
          <w:sz w:val="28"/>
        </w:rPr>
        <w:t xml:space="preserve">
      26. В процессе идентификации клиента (выявления бенефициарного собственника) фондом проводится проверка на наличие такого клиента (бенефициарного собственника) в перечне лиц и организаций,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w:t>
      </w:r>
    </w:p>
    <w:bookmarkEnd w:id="38"/>
    <w:p>
      <w:pPr>
        <w:spacing w:after="0"/>
        <w:ind w:left="0"/>
        <w:jc w:val="both"/>
      </w:pPr>
      <w:r>
        <w:rPr>
          <w:rFonts w:ascii="Times New Roman"/>
          <w:b w:val="false"/>
          <w:i w:val="false"/>
          <w:color w:val="000000"/>
          <w:sz w:val="28"/>
        </w:rPr>
        <w:t>
      В отношении иностранцев, иных лиц, в отношении которых у фонда имеются сведения о наличии у них гражданства иностранного государства, а также лиц без гражданства фондом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иностранному публичному должностному лицу.</w:t>
      </w:r>
    </w:p>
    <w:bookmarkStart w:name="z43" w:id="39"/>
    <w:p>
      <w:pPr>
        <w:spacing w:after="0"/>
        <w:ind w:left="0"/>
        <w:jc w:val="both"/>
      </w:pPr>
      <w:r>
        <w:rPr>
          <w:rFonts w:ascii="Times New Roman"/>
          <w:b w:val="false"/>
          <w:i w:val="false"/>
          <w:color w:val="000000"/>
          <w:sz w:val="28"/>
        </w:rPr>
        <w:t>
      27.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39"/>
    <w:bookmarkStart w:name="z44" w:id="40"/>
    <w:p>
      <w:pPr>
        <w:spacing w:after="0"/>
        <w:ind w:left="0"/>
        <w:jc w:val="both"/>
      </w:pPr>
      <w:r>
        <w:rPr>
          <w:rFonts w:ascii="Times New Roman"/>
          <w:b w:val="false"/>
          <w:i w:val="false"/>
          <w:color w:val="000000"/>
          <w:sz w:val="28"/>
        </w:rPr>
        <w:t>
      28. Программу идентификации клиента, его представителя и бенефициарного собственника включает, но не ограничивается:</w:t>
      </w:r>
    </w:p>
    <w:bookmarkEnd w:id="40"/>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процедуры углубленной идентификации;</w:t>
      </w:r>
    </w:p>
    <w:p>
      <w:pPr>
        <w:spacing w:after="0"/>
        <w:ind w:left="0"/>
        <w:jc w:val="both"/>
      </w:pPr>
      <w:r>
        <w:rPr>
          <w:rFonts w:ascii="Times New Roman"/>
          <w:b w:val="false"/>
          <w:i w:val="false"/>
          <w:color w:val="000000"/>
          <w:sz w:val="28"/>
        </w:rPr>
        <w:t>
      3) описание мер, направленных на выявление фондом среди физических лиц, находящихся на обслуживании или принимаемых на обслуживание, иностранных публичных должностных лиц;</w:t>
      </w:r>
    </w:p>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w:t>
      </w:r>
    </w:p>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p>
      <w:pPr>
        <w:spacing w:after="0"/>
        <w:ind w:left="0"/>
        <w:jc w:val="both"/>
      </w:pPr>
      <w:r>
        <w:rPr>
          <w:rFonts w:ascii="Times New Roman"/>
          <w:b w:val="false"/>
          <w:i w:val="false"/>
          <w:color w:val="000000"/>
          <w:sz w:val="28"/>
        </w:rPr>
        <w:t xml:space="preserve">
      6)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 установленных родительской организацией фонда (при наличии); </w:t>
      </w:r>
    </w:p>
    <w:p>
      <w:pPr>
        <w:spacing w:after="0"/>
        <w:ind w:left="0"/>
        <w:jc w:val="both"/>
      </w:pPr>
      <w:r>
        <w:rPr>
          <w:rFonts w:ascii="Times New Roman"/>
          <w:b w:val="false"/>
          <w:i w:val="false"/>
          <w:color w:val="000000"/>
          <w:sz w:val="28"/>
        </w:rPr>
        <w:t>
      7) особенности взаимодействия с другими организациями в целях получения сведений, необходимых для идентификации клиента (его представителя) и бенефициарного собственника;</w:t>
      </w:r>
    </w:p>
    <w:p>
      <w:pPr>
        <w:spacing w:after="0"/>
        <w:ind w:left="0"/>
        <w:jc w:val="both"/>
      </w:pPr>
      <w:r>
        <w:rPr>
          <w:rFonts w:ascii="Times New Roman"/>
          <w:b w:val="false"/>
          <w:i w:val="false"/>
          <w:color w:val="000000"/>
          <w:sz w:val="28"/>
        </w:rPr>
        <w:t>
      8)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p>
      <w:pPr>
        <w:spacing w:after="0"/>
        <w:ind w:left="0"/>
        <w:jc w:val="both"/>
      </w:pPr>
      <w:r>
        <w:rPr>
          <w:rFonts w:ascii="Times New Roman"/>
          <w:b w:val="false"/>
          <w:i w:val="false"/>
          <w:color w:val="000000"/>
          <w:sz w:val="28"/>
        </w:rPr>
        <w:t>
      9) порядок проверки достоверности сведений о клиенте (его представителе) и бенефициарном собственнике;</w:t>
      </w:r>
    </w:p>
    <w:p>
      <w:pPr>
        <w:spacing w:after="0"/>
        <w:ind w:left="0"/>
        <w:jc w:val="both"/>
      </w:pPr>
      <w:r>
        <w:rPr>
          <w:rFonts w:ascii="Times New Roman"/>
          <w:b w:val="false"/>
          <w:i w:val="false"/>
          <w:color w:val="000000"/>
          <w:sz w:val="28"/>
        </w:rPr>
        <w:t>
      10)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p>
      <w:pPr>
        <w:spacing w:after="0"/>
        <w:ind w:left="0"/>
        <w:jc w:val="both"/>
      </w:pPr>
      <w:r>
        <w:rPr>
          <w:rFonts w:ascii="Times New Roman"/>
          <w:b w:val="false"/>
          <w:i w:val="false"/>
          <w:color w:val="000000"/>
          <w:sz w:val="28"/>
        </w:rPr>
        <w:t>
      11) порядок обеспечения доступа работников фонда к информации, полученной при проведении идентификации;</w:t>
      </w:r>
    </w:p>
    <w:p>
      <w:pPr>
        <w:spacing w:after="0"/>
        <w:ind w:left="0"/>
        <w:jc w:val="both"/>
      </w:pPr>
      <w:r>
        <w:rPr>
          <w:rFonts w:ascii="Times New Roman"/>
          <w:b w:val="false"/>
          <w:i w:val="false"/>
          <w:color w:val="000000"/>
          <w:sz w:val="28"/>
        </w:rPr>
        <w:t>
      12) порядок оценки уровня риска клиента, основания оценки такого риска.</w:t>
      </w:r>
    </w:p>
    <w:bookmarkStart w:name="z45" w:id="41"/>
    <w:p>
      <w:pPr>
        <w:spacing w:after="0"/>
        <w:ind w:left="0"/>
        <w:jc w:val="left"/>
      </w:pPr>
      <w:r>
        <w:rPr>
          <w:rFonts w:ascii="Times New Roman"/>
          <w:b/>
          <w:i w:val="false"/>
          <w:color w:val="000000"/>
        </w:rPr>
        <w:t xml:space="preserve"> 5. Программа мониторинга и изучения операций клиентов</w:t>
      </w:r>
    </w:p>
    <w:bookmarkEnd w:id="41"/>
    <w:bookmarkStart w:name="z46" w:id="42"/>
    <w:p>
      <w:pPr>
        <w:spacing w:after="0"/>
        <w:ind w:left="0"/>
        <w:jc w:val="both"/>
      </w:pPr>
      <w:r>
        <w:rPr>
          <w:rFonts w:ascii="Times New Roman"/>
          <w:b w:val="false"/>
          <w:i w:val="false"/>
          <w:color w:val="000000"/>
          <w:sz w:val="28"/>
        </w:rPr>
        <w:t xml:space="preserve">
      29.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фонд разрабатывает программу мониторинга и изучения операций клиентов.</w:t>
      </w:r>
    </w:p>
    <w:bookmarkEnd w:id="42"/>
    <w:bookmarkStart w:name="z47" w:id="43"/>
    <w:p>
      <w:pPr>
        <w:spacing w:after="0"/>
        <w:ind w:left="0"/>
        <w:jc w:val="both"/>
      </w:pPr>
      <w:r>
        <w:rPr>
          <w:rFonts w:ascii="Times New Roman"/>
          <w:b w:val="false"/>
          <w:i w:val="false"/>
          <w:color w:val="000000"/>
          <w:sz w:val="28"/>
        </w:rPr>
        <w:t xml:space="preserve">
      30. В рамках программы мониторинга и изучения операций клиентов фондом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необычных и подозрительных операций. </w:t>
      </w:r>
    </w:p>
    <w:bookmarkEnd w:id="43"/>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фондом для ежегодной оценки степени подверженности услуг фонда рискам ОД/ФТ, а также для пересмотра уровней рисков клиентов.</w:t>
      </w:r>
    </w:p>
    <w:p>
      <w:pPr>
        <w:spacing w:after="0"/>
        <w:ind w:left="0"/>
        <w:jc w:val="both"/>
      </w:pPr>
      <w:r>
        <w:rPr>
          <w:rFonts w:ascii="Times New Roman"/>
          <w:b w:val="false"/>
          <w:i w:val="false"/>
          <w:color w:val="000000"/>
          <w:sz w:val="28"/>
        </w:rPr>
        <w:t xml:space="preserve">
      Полученные в рамках реализации программы мониторинга и изучения операций клиента сведения вносятся в досье клиента, предусмотренное </w:t>
      </w:r>
      <w:r>
        <w:rPr>
          <w:rFonts w:ascii="Times New Roman"/>
          <w:b w:val="false"/>
          <w:i w:val="false"/>
          <w:color w:val="000000"/>
          <w:sz w:val="28"/>
        </w:rPr>
        <w:t>пунктом 23</w:t>
      </w:r>
      <w:r>
        <w:rPr>
          <w:rFonts w:ascii="Times New Roman"/>
          <w:b w:val="false"/>
          <w:i w:val="false"/>
          <w:color w:val="000000"/>
          <w:sz w:val="28"/>
        </w:rPr>
        <w:t xml:space="preserve"> Требований, и (или) хранятся в фонде на протяжении всего периода деловых отношений деловых отношений с клиентом и не менее пяти лет со дня их окончания. </w:t>
      </w:r>
    </w:p>
    <w:bookmarkStart w:name="z48" w:id="44"/>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фондом с учетом уровня риска клиента (группы клиентов) и (или) степени подверженности услуг фонда, которыми пользуется клиент, рискам ОД/ФТ.</w:t>
      </w:r>
    </w:p>
    <w:bookmarkEnd w:id="4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25</w:t>
      </w:r>
      <w:r>
        <w:rPr>
          <w:rFonts w:ascii="Times New Roman"/>
          <w:b w:val="false"/>
          <w:i w:val="false"/>
          <w:color w:val="000000"/>
          <w:sz w:val="28"/>
        </w:rPr>
        <w:t xml:space="preserve"> Требований, фондом проводится углубленная идентификация клиента.</w:t>
      </w:r>
    </w:p>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p>
      <w:pPr>
        <w:spacing w:after="0"/>
        <w:ind w:left="0"/>
        <w:jc w:val="both"/>
      </w:pPr>
      <w:r>
        <w:rPr>
          <w:rFonts w:ascii="Times New Roman"/>
          <w:b w:val="false"/>
          <w:i w:val="false"/>
          <w:color w:val="000000"/>
          <w:sz w:val="28"/>
        </w:rPr>
        <w:t>
      Проверка наличия клиента (бенефициарного собственника) в Перечне (включения в Перечень) не зависит от уровня риска клиента и осуществляется по мере внесения изменений в Перечень (обновления Перечня).</w:t>
      </w:r>
    </w:p>
    <w:bookmarkStart w:name="z49" w:id="45"/>
    <w:p>
      <w:pPr>
        <w:spacing w:after="0"/>
        <w:ind w:left="0"/>
        <w:jc w:val="both"/>
      </w:pPr>
      <w:r>
        <w:rPr>
          <w:rFonts w:ascii="Times New Roman"/>
          <w:b w:val="false"/>
          <w:i w:val="false"/>
          <w:color w:val="000000"/>
          <w:sz w:val="28"/>
        </w:rPr>
        <w:t>
      32. Степень изучения операций клиента определяется фондом с учетом уровня риска клиента (группы клиентов), а также с учетом имеющихся у фонда сценариев (схем) ОД/ФТ и (или) признаков необычных и подозрительных операций.</w:t>
      </w:r>
    </w:p>
    <w:bookmarkEnd w:id="45"/>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фондом изучаются операции, которые проводит (проводил) клиент за определенный период времени.</w:t>
      </w:r>
    </w:p>
    <w:bookmarkStart w:name="z50" w:id="46"/>
    <w:p>
      <w:pPr>
        <w:spacing w:after="0"/>
        <w:ind w:left="0"/>
        <w:jc w:val="both"/>
      </w:pPr>
      <w:r>
        <w:rPr>
          <w:rFonts w:ascii="Times New Roman"/>
          <w:b w:val="false"/>
          <w:i w:val="false"/>
          <w:color w:val="000000"/>
          <w:sz w:val="28"/>
        </w:rPr>
        <w:t>
      33. Программа мониторинга и изучения операций клиентов включает, но не ограничивается:</w:t>
      </w:r>
    </w:p>
    <w:bookmarkEnd w:id="46"/>
    <w:p>
      <w:pPr>
        <w:spacing w:after="0"/>
        <w:ind w:left="0"/>
        <w:jc w:val="both"/>
      </w:pPr>
      <w:r>
        <w:rPr>
          <w:rFonts w:ascii="Times New Roman"/>
          <w:b w:val="false"/>
          <w:i w:val="false"/>
          <w:color w:val="000000"/>
          <w:sz w:val="28"/>
        </w:rPr>
        <w:t xml:space="preserve">
      1) перечень признаков необычных и подозрительных операций, составляемый на основе признаков, утвержденных Правительством Республики Казахстан, а также разработанных фондом самостоятельно; </w:t>
      </w:r>
    </w:p>
    <w:p>
      <w:pPr>
        <w:spacing w:after="0"/>
        <w:ind w:left="0"/>
        <w:jc w:val="both"/>
      </w:pPr>
      <w:r>
        <w:rPr>
          <w:rFonts w:ascii="Times New Roman"/>
          <w:b w:val="false"/>
          <w:i w:val="false"/>
          <w:color w:val="000000"/>
          <w:sz w:val="28"/>
        </w:rPr>
        <w:t xml:space="preserve">
      2) распределение обязанностей между подразделениями (работниками) фонда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 </w:t>
      </w:r>
    </w:p>
    <w:p>
      <w:pPr>
        <w:spacing w:after="0"/>
        <w:ind w:left="0"/>
        <w:jc w:val="both"/>
      </w:pPr>
      <w:r>
        <w:rPr>
          <w:rFonts w:ascii="Times New Roman"/>
          <w:b w:val="false"/>
          <w:i w:val="false"/>
          <w:color w:val="000000"/>
          <w:sz w:val="28"/>
        </w:rPr>
        <w:t>
      3) распределение обязанностей между подразделениями (работниками) фонда по выявлению и передаче между подразделениями (работниками) сведений о пороговых, необычных и подозрительных операциях;</w:t>
      </w:r>
    </w:p>
    <w:p>
      <w:pPr>
        <w:spacing w:after="0"/>
        <w:ind w:left="0"/>
        <w:jc w:val="both"/>
      </w:pPr>
      <w:r>
        <w:rPr>
          <w:rFonts w:ascii="Times New Roman"/>
          <w:b w:val="false"/>
          <w:i w:val="false"/>
          <w:color w:val="000000"/>
          <w:sz w:val="28"/>
        </w:rPr>
        <w:t>
      4) описание механизма взаимодействия подразделений при выявлении пороговых, необычных и подозрительных операций;</w:t>
      </w:r>
    </w:p>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p>
      <w:pPr>
        <w:spacing w:after="0"/>
        <w:ind w:left="0"/>
        <w:jc w:val="both"/>
      </w:pPr>
      <w:r>
        <w:rPr>
          <w:rFonts w:ascii="Times New Roman"/>
          <w:b w:val="false"/>
          <w:i w:val="false"/>
          <w:color w:val="000000"/>
          <w:sz w:val="28"/>
        </w:rPr>
        <w:t>
      6) порядок взаимодействия подразделений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а также о прекращении деловых отношений с клиентом;</w:t>
      </w:r>
    </w:p>
    <w:p>
      <w:pPr>
        <w:spacing w:after="0"/>
        <w:ind w:left="0"/>
        <w:jc w:val="both"/>
      </w:pPr>
      <w:r>
        <w:rPr>
          <w:rFonts w:ascii="Times New Roman"/>
          <w:b w:val="false"/>
          <w:i w:val="false"/>
          <w:color w:val="000000"/>
          <w:sz w:val="28"/>
        </w:rPr>
        <w:t xml:space="preserve">
      7) порядок взаимодействия подразделений (работников) по выявлению клиентов и бенефициарных собственников, находящихся в Перечне, а также по отказу в проведении операций (осуществлении пенсионных выплат), обслуживании таких клиентов либо прекращению деловых отношений с ними; </w:t>
      </w:r>
    </w:p>
    <w:p>
      <w:pPr>
        <w:spacing w:after="0"/>
        <w:ind w:left="0"/>
        <w:jc w:val="both"/>
      </w:pPr>
      <w:r>
        <w:rPr>
          <w:rFonts w:ascii="Times New Roman"/>
          <w:b w:val="false"/>
          <w:i w:val="false"/>
          <w:color w:val="000000"/>
          <w:sz w:val="28"/>
        </w:rPr>
        <w:t>
      8)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сумму операции);</w:t>
      </w:r>
    </w:p>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фонда о выявлении пороговой и подозрительной операции;</w:t>
      </w:r>
    </w:p>
    <w:p>
      <w:pPr>
        <w:spacing w:after="0"/>
        <w:ind w:left="0"/>
        <w:jc w:val="both"/>
      </w:pPr>
      <w:r>
        <w:rPr>
          <w:rFonts w:ascii="Times New Roman"/>
          <w:b w:val="false"/>
          <w:i w:val="false"/>
          <w:color w:val="000000"/>
          <w:sz w:val="28"/>
        </w:rPr>
        <w:t>
      11)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Start w:name="z51" w:id="47"/>
    <w:p>
      <w:pPr>
        <w:spacing w:after="0"/>
        <w:ind w:left="0"/>
        <w:jc w:val="both"/>
      </w:pPr>
      <w:r>
        <w:rPr>
          <w:rFonts w:ascii="Times New Roman"/>
          <w:b w:val="false"/>
          <w:i w:val="false"/>
          <w:color w:val="000000"/>
          <w:sz w:val="28"/>
        </w:rPr>
        <w:t>
      34.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работник фонда,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фонда.</w:t>
      </w:r>
    </w:p>
    <w:bookmarkEnd w:id="47"/>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фондом не менее пяти лет со дня прекращения деловых отношений с клиентом.</w:t>
      </w:r>
    </w:p>
    <w:bookmarkStart w:name="z52" w:id="48"/>
    <w:p>
      <w:pPr>
        <w:spacing w:after="0"/>
        <w:ind w:left="0"/>
        <w:jc w:val="left"/>
      </w:pPr>
      <w:r>
        <w:rPr>
          <w:rFonts w:ascii="Times New Roman"/>
          <w:b/>
          <w:i w:val="false"/>
          <w:color w:val="000000"/>
        </w:rPr>
        <w:t xml:space="preserve"> 6. Программа подготовки и обучения</w:t>
      </w:r>
      <w:r>
        <w:br/>
      </w:r>
      <w:r>
        <w:rPr>
          <w:rFonts w:ascii="Times New Roman"/>
          <w:b/>
          <w:i w:val="false"/>
          <w:color w:val="000000"/>
        </w:rPr>
        <w:t>работников фонда по вопросам ПОД/ФТ</w:t>
      </w:r>
    </w:p>
    <w:bookmarkEnd w:id="48"/>
    <w:bookmarkStart w:name="z53" w:id="49"/>
    <w:p>
      <w:pPr>
        <w:spacing w:after="0"/>
        <w:ind w:left="0"/>
        <w:jc w:val="both"/>
      </w:pPr>
      <w:r>
        <w:rPr>
          <w:rFonts w:ascii="Times New Roman"/>
          <w:b w:val="false"/>
          <w:i w:val="false"/>
          <w:color w:val="000000"/>
          <w:sz w:val="28"/>
        </w:rPr>
        <w:t>
      35. Целью Программы подготовки и обучения работников по вопросам ПОД/ФТ (далее - Программа обучения) является получение работниками фонда знаний и формирование навыков, необходимых для исполнения ими требований законодательства, а также правил внутреннего контроля и иных внутренних документов в сфере ПОД/ФТ.</w:t>
      </w:r>
    </w:p>
    <w:bookmarkEnd w:id="49"/>
    <w:bookmarkStart w:name="z54" w:id="50"/>
    <w:p>
      <w:pPr>
        <w:spacing w:after="0"/>
        <w:ind w:left="0"/>
        <w:jc w:val="both"/>
      </w:pPr>
      <w:r>
        <w:rPr>
          <w:rFonts w:ascii="Times New Roman"/>
          <w:b w:val="false"/>
          <w:i w:val="false"/>
          <w:color w:val="000000"/>
          <w:sz w:val="28"/>
        </w:rPr>
        <w:t>
      36. В Программу обучения фонда включаются:</w:t>
      </w:r>
    </w:p>
    <w:bookmarkEnd w:id="50"/>
    <w:p>
      <w:pPr>
        <w:spacing w:after="0"/>
        <w:ind w:left="0"/>
        <w:jc w:val="both"/>
      </w:pPr>
      <w:r>
        <w:rPr>
          <w:rFonts w:ascii="Times New Roman"/>
          <w:b w:val="false"/>
          <w:i w:val="false"/>
          <w:color w:val="000000"/>
          <w:sz w:val="28"/>
        </w:rPr>
        <w:t>
      1) порядок обучения работников, включающий в себя тематику обучения, методы, сроки проведения и подразделение, ответственное за проведение обучения;</w:t>
      </w:r>
    </w:p>
    <w:p>
      <w:pPr>
        <w:spacing w:after="0"/>
        <w:ind w:left="0"/>
        <w:jc w:val="both"/>
      </w:pPr>
      <w:r>
        <w:rPr>
          <w:rFonts w:ascii="Times New Roman"/>
          <w:b w:val="false"/>
          <w:i w:val="false"/>
          <w:color w:val="000000"/>
          <w:sz w:val="28"/>
        </w:rPr>
        <w:t xml:space="preserve">
      2) перечень подразделений фонда, работники которых проходят обучение; </w:t>
      </w:r>
    </w:p>
    <w:p>
      <w:pPr>
        <w:spacing w:after="0"/>
        <w:ind w:left="0"/>
        <w:jc w:val="both"/>
      </w:pPr>
      <w:r>
        <w:rPr>
          <w:rFonts w:ascii="Times New Roman"/>
          <w:b w:val="false"/>
          <w:i w:val="false"/>
          <w:color w:val="000000"/>
          <w:sz w:val="28"/>
        </w:rPr>
        <w:t xml:space="preserve">
      3) порядок и формы хранения результатов обучения; </w:t>
      </w:r>
    </w:p>
    <w:p>
      <w:pPr>
        <w:spacing w:after="0"/>
        <w:ind w:left="0"/>
        <w:jc w:val="both"/>
      </w:pPr>
      <w:r>
        <w:rPr>
          <w:rFonts w:ascii="Times New Roman"/>
          <w:b w:val="false"/>
          <w:i w:val="false"/>
          <w:color w:val="000000"/>
          <w:sz w:val="28"/>
        </w:rPr>
        <w:t>
      4) порядок и формы проверки знаний работников по вопросам ПОД/ФТ.</w:t>
      </w:r>
    </w:p>
    <w:bookmarkStart w:name="z55" w:id="51"/>
    <w:p>
      <w:pPr>
        <w:spacing w:after="0"/>
        <w:ind w:left="0"/>
        <w:jc w:val="both"/>
      </w:pPr>
      <w:r>
        <w:rPr>
          <w:rFonts w:ascii="Times New Roman"/>
          <w:b w:val="false"/>
          <w:i w:val="false"/>
          <w:color w:val="000000"/>
          <w:sz w:val="28"/>
        </w:rPr>
        <w:t>
      37. Формы и периодичность проведения обучения устанавливаются фондом с учетом требований, утвержденных уполномоченным органом по финансовому мониторингу.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 полученных</w:t>
            </w:r>
            <w:r>
              <w:br/>
            </w:r>
            <w:r>
              <w:rPr>
                <w:rFonts w:ascii="Times New Roman"/>
                <w:b w:val="false"/>
                <w:i w:val="false"/>
                <w:color w:val="000000"/>
                <w:sz w:val="20"/>
              </w:rPr>
              <w:t>преступным путем, и</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для единого накопительного</w:t>
            </w:r>
            <w:r>
              <w:br/>
            </w:r>
            <w:r>
              <w:rPr>
                <w:rFonts w:ascii="Times New Roman"/>
                <w:b w:val="false"/>
                <w:i w:val="false"/>
                <w:color w:val="000000"/>
                <w:sz w:val="20"/>
              </w:rPr>
              <w:t>пенсионного фонда и добровольных</w:t>
            </w:r>
            <w:r>
              <w:br/>
            </w:r>
            <w:r>
              <w:rPr>
                <w:rFonts w:ascii="Times New Roman"/>
                <w:b w:val="false"/>
                <w:i w:val="false"/>
                <w:color w:val="000000"/>
                <w:sz w:val="20"/>
              </w:rPr>
              <w:t>накопительных пенсионных фондов</w:t>
            </w:r>
          </w:p>
        </w:tc>
      </w:tr>
    </w:tbl>
    <w:bookmarkStart w:name="z57" w:id="52"/>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52"/>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8"/>
        <w:gridCol w:w="1027"/>
        <w:gridCol w:w="1027"/>
        <w:gridCol w:w="1028"/>
      </w:tblGrid>
      <w:tr>
        <w:trPr>
          <w:trHeight w:val="30" w:hRule="atLeast"/>
        </w:trPr>
        <w:tc>
          <w:tcPr>
            <w:tcW w:w="9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Упрощенная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физическом лице</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контактного телефона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о физическом лице-индивидуальном предпринимателе</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выдачи документа, подтверждающего регистрацию физического лица в качестве индивидуального предпринимателя, в том числе в качестве руководителя крестьянского (фермерского) хозяйства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предпринимательской деятельности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предпринимательской деятельности (государство/юрисдикция, почтовый индекс, населенный пункт, улица/район, номер здания)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Дополнительные сведения о физическом лице-иностранце</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иностранным публичным должностным лицам или связанным с ними лицам (членам семьи)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физического лица</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контактного телефона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Сведения о бенефициарном собственнике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(совершается операция), либо отметка о том, что физическое лицо, установившее деловые отношения (совершающее операцию) от своего имени, действует в собственных интересах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Сведения об источниках финансирования совершаемых операций</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банках/финансовых организациях (при наличии) (наименование банка/финансовой организации, в которой имеется счет)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Результаты мониторинга операций и служебная информация</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о нахождении клиента, его бенефициарного собственника в перечне лиц, связанных с финансированием терроризма и экстремизма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физическим лицом в фонде (обязательные пенсионные взносы, обязательные профессиональные пенсионные взносы, добровольные пенсионные взносы)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получения (обновления) сведений о клиенте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8" w:id="53"/>
    <w:p>
      <w:pPr>
        <w:spacing w:after="0"/>
        <w:ind w:left="0"/>
        <w:jc w:val="left"/>
      </w:pPr>
      <w:r>
        <w:rPr>
          <w:rFonts w:ascii="Times New Roman"/>
          <w:b/>
          <w:i w:val="false"/>
          <w:color w:val="000000"/>
        </w:rPr>
        <w:t xml:space="preserve"> Пояснения к Требованиям к содержанию досье клиента:</w:t>
      </w:r>
    </w:p>
    <w:bookmarkEnd w:id="53"/>
    <w:bookmarkStart w:name="z59" w:id="54"/>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bookmarkEnd w:id="54"/>
    <w:bookmarkStart w:name="z60" w:id="55"/>
    <w:p>
      <w:pPr>
        <w:spacing w:after="0"/>
        <w:ind w:left="0"/>
        <w:jc w:val="both"/>
      </w:pPr>
      <w:r>
        <w:rPr>
          <w:rFonts w:ascii="Times New Roman"/>
          <w:b w:val="false"/>
          <w:i w:val="false"/>
          <w:color w:val="000000"/>
          <w:sz w:val="28"/>
        </w:rPr>
        <w:t>
      1.1. для граждан Республики Казахстан:</w:t>
      </w:r>
    </w:p>
    <w:bookmarkEnd w:id="55"/>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bookmarkStart w:name="z61" w:id="56"/>
    <w:p>
      <w:pPr>
        <w:spacing w:after="0"/>
        <w:ind w:left="0"/>
        <w:jc w:val="both"/>
      </w:pPr>
      <w:r>
        <w:rPr>
          <w:rFonts w:ascii="Times New Roman"/>
          <w:b w:val="false"/>
          <w:i w:val="false"/>
          <w:color w:val="000000"/>
          <w:sz w:val="28"/>
        </w:rPr>
        <w:t>
      1.2. для иностранных граждан:</w:t>
      </w:r>
    </w:p>
    <w:bookmarkEnd w:id="56"/>
    <w:p>
      <w:pPr>
        <w:spacing w:after="0"/>
        <w:ind w:left="0"/>
        <w:jc w:val="both"/>
      </w:pPr>
      <w:r>
        <w:rPr>
          <w:rFonts w:ascii="Times New Roman"/>
          <w:b w:val="false"/>
          <w:i w:val="false"/>
          <w:color w:val="000000"/>
          <w:sz w:val="28"/>
        </w:rPr>
        <w:t xml:space="preserve">
      1) заграничный паспорт (паспорт гражданина иностранного государства); </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bookmarkStart w:name="z62" w:id="57"/>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bookmarkEnd w:id="57"/>
    <w:p>
      <w:pPr>
        <w:spacing w:after="0"/>
        <w:ind w:left="0"/>
        <w:jc w:val="both"/>
      </w:pPr>
      <w:r>
        <w:rPr>
          <w:rFonts w:ascii="Times New Roman"/>
          <w:b w:val="false"/>
          <w:i w:val="false"/>
          <w:color w:val="000000"/>
          <w:sz w:val="28"/>
        </w:rPr>
        <w:t>
      удостоверение лица без гражданства.</w:t>
      </w:r>
    </w:p>
    <w:bookmarkStart w:name="z63" w:id="58"/>
    <w:p>
      <w:pPr>
        <w:spacing w:after="0"/>
        <w:ind w:left="0"/>
        <w:jc w:val="both"/>
      </w:pPr>
      <w:r>
        <w:rPr>
          <w:rFonts w:ascii="Times New Roman"/>
          <w:b w:val="false"/>
          <w:i w:val="false"/>
          <w:color w:val="000000"/>
          <w:sz w:val="28"/>
        </w:rPr>
        <w:t xml:space="preserve">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 </w:t>
      </w:r>
    </w:p>
    <w:bookmarkEnd w:id="58"/>
    <w:bookmarkStart w:name="z64" w:id="59"/>
    <w:p>
      <w:pPr>
        <w:spacing w:after="0"/>
        <w:ind w:left="0"/>
        <w:jc w:val="both"/>
      </w:pPr>
      <w:r>
        <w:rPr>
          <w:rFonts w:ascii="Times New Roman"/>
          <w:b w:val="false"/>
          <w:i w:val="false"/>
          <w:color w:val="000000"/>
          <w:sz w:val="28"/>
        </w:rPr>
        <w:t>
      3. В отношении получателя пенсионных выплат, не являющегося вкладчиком пенсионных взносов, в досье клиента включаются сведения о получателе пенсионных выплат, предусмотренные разделами 1, 3, 4 настоящего Приложения.</w:t>
      </w:r>
    </w:p>
    <w:bookmarkEnd w:id="59"/>
    <w:p>
      <w:pPr>
        <w:spacing w:after="0"/>
        <w:ind w:left="0"/>
        <w:jc w:val="both"/>
      </w:pPr>
      <w:r>
        <w:rPr>
          <w:rFonts w:ascii="Times New Roman"/>
          <w:b w:val="false"/>
          <w:i w:val="false"/>
          <w:color w:val="000000"/>
          <w:sz w:val="28"/>
        </w:rPr>
        <w:t>
      При осуществлении пенсионных выплат, сформированных за счет добровольных пенсионных взносов, в досье клиента включаются также сведения о бенефициарном собственнике получателя пенсионных выплат.</w:t>
      </w:r>
    </w:p>
    <w:p>
      <w:pPr>
        <w:spacing w:after="0"/>
        <w:ind w:left="0"/>
        <w:jc w:val="both"/>
      </w:pPr>
      <w:r>
        <w:rPr>
          <w:rFonts w:ascii="Times New Roman"/>
          <w:b w:val="false"/>
          <w:i w:val="false"/>
          <w:color w:val="000000"/>
          <w:sz w:val="28"/>
        </w:rPr>
        <w:t xml:space="preserve">
      В случае нахождения получателя пенсионных выплат в перечне террористов, в досье клиента отражается соответствующая отметка. </w:t>
      </w:r>
    </w:p>
    <w:bookmarkStart w:name="z1" w:id="60"/>
    <w:p>
      <w:pPr>
        <w:spacing w:after="0"/>
        <w:ind w:left="0"/>
        <w:jc w:val="both"/>
      </w:pPr>
      <w:r>
        <w:rPr>
          <w:rFonts w:ascii="Times New Roman"/>
          <w:b w:val="false"/>
          <w:i w:val="false"/>
          <w:color w:val="000000"/>
          <w:sz w:val="28"/>
        </w:rPr>
        <w:t>
      4. Сведения о миграционных карточках не требуется получать в отношении граждан государств, входящих в Евразийский экономический союз.</w:t>
      </w:r>
    </w:p>
    <w:bookmarkEnd w:id="60"/>
    <w:bookmarkStart w:name="z65" w:id="61"/>
    <w:p>
      <w:pPr>
        <w:spacing w:after="0"/>
        <w:ind w:left="0"/>
        <w:jc w:val="left"/>
      </w:pPr>
      <w:r>
        <w:rPr>
          <w:rFonts w:ascii="Times New Roman"/>
          <w:b/>
          <w:i w:val="false"/>
          <w:color w:val="000000"/>
        </w:rPr>
        <w:t xml:space="preserve"> Условные обозначения:</w:t>
      </w:r>
    </w:p>
    <w:bookmarkEnd w:id="61"/>
    <w:p>
      <w:pPr>
        <w:spacing w:after="0"/>
        <w:ind w:left="0"/>
        <w:jc w:val="left"/>
      </w:pP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 и проверки их достоверности.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 полученных</w:t>
            </w:r>
            <w:r>
              <w:br/>
            </w:r>
            <w:r>
              <w:rPr>
                <w:rFonts w:ascii="Times New Roman"/>
                <w:b w:val="false"/>
                <w:i w:val="false"/>
                <w:color w:val="000000"/>
                <w:sz w:val="20"/>
              </w:rPr>
              <w:t>преступным путем, и</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для единого накопительного</w:t>
            </w:r>
            <w:r>
              <w:br/>
            </w:r>
            <w:r>
              <w:rPr>
                <w:rFonts w:ascii="Times New Roman"/>
                <w:b w:val="false"/>
                <w:i w:val="false"/>
                <w:color w:val="000000"/>
                <w:sz w:val="20"/>
              </w:rPr>
              <w:t>пенсионного фонда и добровольных</w:t>
            </w:r>
            <w:r>
              <w:br/>
            </w:r>
            <w:r>
              <w:rPr>
                <w:rFonts w:ascii="Times New Roman"/>
                <w:b w:val="false"/>
                <w:i w:val="false"/>
                <w:color w:val="000000"/>
                <w:sz w:val="20"/>
              </w:rPr>
              <w:t>накопительных пенсионных фондов</w:t>
            </w:r>
          </w:p>
        </w:tc>
      </w:tr>
    </w:tbl>
    <w:bookmarkStart w:name="z67" w:id="62"/>
    <w:p>
      <w:pPr>
        <w:spacing w:after="0"/>
        <w:ind w:left="0"/>
        <w:jc w:val="left"/>
      </w:pPr>
      <w:r>
        <w:rPr>
          <w:rFonts w:ascii="Times New Roman"/>
          <w:b/>
          <w:i w:val="false"/>
          <w:color w:val="000000"/>
        </w:rPr>
        <w:t xml:space="preserve"> Требования к содержанию досье клиента - юридического лица</w:t>
      </w:r>
    </w:p>
    <w:bookmarkEnd w:id="62"/>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финансов РК от 10.12.2015 </w:t>
      </w:r>
      <w:r>
        <w:rPr>
          <w:rFonts w:ascii="Times New Roman"/>
          <w:b w:val="false"/>
          <w:i w:val="false"/>
          <w:color w:val="ff0000"/>
          <w:sz w:val="28"/>
        </w:rPr>
        <w:t>№ 643</w:t>
      </w:r>
      <w:r>
        <w:rPr>
          <w:rFonts w:ascii="Times New Roman"/>
          <w:b w:val="false"/>
          <w:i w:val="false"/>
          <w:color w:val="ff0000"/>
          <w:sz w:val="28"/>
        </w:rPr>
        <w:t xml:space="preserve"> и постановлением Правления Национального Банка РК от 19.12.2015 № 225 (вводится в действие по истечении десяти календарных дней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2"/>
        <w:gridCol w:w="1159"/>
        <w:gridCol w:w="1159"/>
        <w:gridCol w:w="1160"/>
      </w:tblGrid>
      <w:tr>
        <w:trPr>
          <w:trHeight w:val="30" w:hRule="atLeast"/>
        </w:trPr>
        <w:tc>
          <w:tcPr>
            <w:tcW w:w="8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Стандартная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Упрощенная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Углубленная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Общие сведения о юридическом лице</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и при наличии сокращенное наименование, включая организационно-правовую форму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подтверждающего регистрацию, дата его выдачи, номер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лицензию</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контактного телефона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Дополнительные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об иностранном юридическом лице</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структуре собственности и управления</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юридического лица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Сведения о персональном составе высшего органа</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Сведения о персональном составе исполнительного органа</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и членов коллегиального исполнительного органа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документа (приказа, протокола общего собрания, протокола совета директоров, решения единственного акционера (учредителя) или другого аналогичного документа),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Сведения о персональном составе иных органов управления (при их наличии)</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их наличии) руководителя и членов органа управления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место рождения руководителя и членов органа управления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(при наличии) руководителя и членов органа управления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руководителя и членов органа управления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Сведения о представителе юридического лица</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юридического лица (включая руководителя филиала (представительства) юридического лица)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место рождения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номер, серия (при ее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контактного телефона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Сведения о бенефициарном собственнике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о наличии/отсутствии физического лица (лиц), в интересах которого юридическим лицом устанавливаются деловые отношения (совершаются операции)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иностранным публичным должностным лицам или связанным с ними лицам (членам семьи)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Дополнительные сведения</w:t>
            </w:r>
          </w:p>
          <w:p>
            <w:pPr>
              <w:spacing w:after="20"/>
              <w:ind w:left="20"/>
              <w:jc w:val="both"/>
            </w:pPr>
            <w:r>
              <w:rPr>
                <w:rFonts w:ascii="Times New Roman"/>
                <w:b w:val="false"/>
                <w:i w:val="false"/>
                <w:color w:val="000000"/>
                <w:sz w:val="20"/>
              </w:rPr>
              <w:t>
</w:t>
            </w:r>
            <w:r>
              <w:rPr>
                <w:rFonts w:ascii="Times New Roman"/>
                <w:b/>
                <w:i w:val="false"/>
                <w:color w:val="000000"/>
                <w:sz w:val="20"/>
              </w:rPr>
              <w:t>о филиале (представительстве) юридического лица</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(представительства)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подтверждающего регистрацию, дата его выдачи, номер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и дата регистрации (перерегистрации)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ОКЭД (при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филиала (представительства) в соответствии с документом, подтверждающим регистрацию (страна, почтовый индекс, населенный пункт, улица/район, номер здания)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контактного телефона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Сведения об источниках финансирования совершаемых операций</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юридического лица, финансирования совершаемых операций (доход от предпринимательской деятельности, дивиденды, добровольные имущественные взносы и пожертвования, иное)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15900" cy="203200"/>
                          </a:xfrm>
                          <a:prstGeom prst="rect">
                            <a:avLst/>
                          </a:prstGeom>
                        </pic:spPr>
                      </pic:pic>
                    </a:graphicData>
                  </a:graphic>
                </wp:inline>
              </w:drawing>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банках/финансовых организациях (при наличии) (наименование банка/финансовой организации, в которой имеется счет)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другого юридического лица)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бенефициарного собственника (недвижимое имущество, ценности, доля в капитале/процент акций другого юридического лица)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Результаты мониторинга операций и служебная информация</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юридическим лицом в фонде (обязательные пенсионные взносы, обязательные профессиональные пенсионные взносы, добровольные пенсионные взносы)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15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8" w:id="63"/>
    <w:p>
      <w:pPr>
        <w:spacing w:after="0"/>
        <w:ind w:left="0"/>
        <w:jc w:val="left"/>
      </w:pPr>
      <w:r>
        <w:rPr>
          <w:rFonts w:ascii="Times New Roman"/>
          <w:b/>
          <w:i w:val="false"/>
          <w:color w:val="000000"/>
        </w:rPr>
        <w:t xml:space="preserve"> Пояснения к Требованиям к содержанию досье клиента:</w:t>
      </w:r>
    </w:p>
    <w:bookmarkEnd w:id="63"/>
    <w:bookmarkStart w:name="z69" w:id="64"/>
    <w:p>
      <w:pPr>
        <w:spacing w:after="0"/>
        <w:ind w:left="0"/>
        <w:jc w:val="both"/>
      </w:pPr>
      <w:r>
        <w:rPr>
          <w:rFonts w:ascii="Times New Roman"/>
          <w:b w:val="false"/>
          <w:i w:val="false"/>
          <w:color w:val="000000"/>
          <w:sz w:val="28"/>
        </w:rPr>
        <w:t>
      1. В соответствии с законодательством Республики Казахстан документами, удостоверяющими личность, на основании которых могут совершаться гражданско-правовые сделки являются:</w:t>
      </w:r>
    </w:p>
    <w:bookmarkEnd w:id="64"/>
    <w:bookmarkStart w:name="z70" w:id="65"/>
    <w:p>
      <w:pPr>
        <w:spacing w:after="0"/>
        <w:ind w:left="0"/>
        <w:jc w:val="both"/>
      </w:pPr>
      <w:r>
        <w:rPr>
          <w:rFonts w:ascii="Times New Roman"/>
          <w:b w:val="false"/>
          <w:i w:val="false"/>
          <w:color w:val="000000"/>
          <w:sz w:val="28"/>
        </w:rPr>
        <w:t>
      1.1. Для граждан Республики Казахстан:</w:t>
      </w:r>
    </w:p>
    <w:bookmarkEnd w:id="65"/>
    <w:p>
      <w:pPr>
        <w:spacing w:after="0"/>
        <w:ind w:left="0"/>
        <w:jc w:val="both"/>
      </w:pPr>
      <w:r>
        <w:rPr>
          <w:rFonts w:ascii="Times New Roman"/>
          <w:b w:val="false"/>
          <w:i w:val="false"/>
          <w:color w:val="000000"/>
          <w:sz w:val="28"/>
        </w:rPr>
        <w:t>
      1) паспорт гражданина Республики Казахстан;</w:t>
      </w:r>
    </w:p>
    <w:p>
      <w:pPr>
        <w:spacing w:after="0"/>
        <w:ind w:left="0"/>
        <w:jc w:val="both"/>
      </w:pPr>
      <w:r>
        <w:rPr>
          <w:rFonts w:ascii="Times New Roman"/>
          <w:b w:val="false"/>
          <w:i w:val="false"/>
          <w:color w:val="000000"/>
          <w:sz w:val="28"/>
        </w:rPr>
        <w:t>
      2) удостоверение личности гражданина Республики Казахстан;</w:t>
      </w:r>
    </w:p>
    <w:p>
      <w:pPr>
        <w:spacing w:after="0"/>
        <w:ind w:left="0"/>
        <w:jc w:val="both"/>
      </w:pPr>
      <w:r>
        <w:rPr>
          <w:rFonts w:ascii="Times New Roman"/>
          <w:b w:val="false"/>
          <w:i w:val="false"/>
          <w:color w:val="000000"/>
          <w:sz w:val="28"/>
        </w:rPr>
        <w:t>
      3) свидетельство о рождении (при открытии сберегательного счета на имя несовершеннолетнего лица);</w:t>
      </w:r>
    </w:p>
    <w:bookmarkStart w:name="z71" w:id="66"/>
    <w:p>
      <w:pPr>
        <w:spacing w:after="0"/>
        <w:ind w:left="0"/>
        <w:jc w:val="both"/>
      </w:pPr>
      <w:r>
        <w:rPr>
          <w:rFonts w:ascii="Times New Roman"/>
          <w:b w:val="false"/>
          <w:i w:val="false"/>
          <w:color w:val="000000"/>
          <w:sz w:val="28"/>
        </w:rPr>
        <w:t>
      1.2. Для иностранных граждан:</w:t>
      </w:r>
    </w:p>
    <w:bookmarkEnd w:id="66"/>
    <w:p>
      <w:pPr>
        <w:spacing w:after="0"/>
        <w:ind w:left="0"/>
        <w:jc w:val="both"/>
      </w:pPr>
      <w:r>
        <w:rPr>
          <w:rFonts w:ascii="Times New Roman"/>
          <w:b w:val="false"/>
          <w:i w:val="false"/>
          <w:color w:val="000000"/>
          <w:sz w:val="28"/>
        </w:rPr>
        <w:t xml:space="preserve">
      1) заграничный паспорт (паспорт гражданина иностранного государства); </w:t>
      </w:r>
    </w:p>
    <w:p>
      <w:pPr>
        <w:spacing w:after="0"/>
        <w:ind w:left="0"/>
        <w:jc w:val="both"/>
      </w:pPr>
      <w:r>
        <w:rPr>
          <w:rFonts w:ascii="Times New Roman"/>
          <w:b w:val="false"/>
          <w:i w:val="false"/>
          <w:color w:val="000000"/>
          <w:sz w:val="28"/>
        </w:rPr>
        <w:t>
      2) вид на жительство иностранца в Республике Казахстан;</w:t>
      </w:r>
    </w:p>
    <w:p>
      <w:pPr>
        <w:spacing w:after="0"/>
        <w:ind w:left="0"/>
        <w:jc w:val="both"/>
      </w:pPr>
      <w:r>
        <w:rPr>
          <w:rFonts w:ascii="Times New Roman"/>
          <w:b w:val="false"/>
          <w:i w:val="false"/>
          <w:color w:val="000000"/>
          <w:sz w:val="28"/>
        </w:rPr>
        <w:t>
      3) иной документ, признаваемый в соответствии с международным договором, ратифицированным Республикой Казахстан, в качестве документа, удостоверяющего личность, на основании которого заключаются гражданско-правовые сделки на территории Республики Казахстан.</w:t>
      </w:r>
    </w:p>
    <w:bookmarkStart w:name="z72" w:id="67"/>
    <w:p>
      <w:pPr>
        <w:spacing w:after="0"/>
        <w:ind w:left="0"/>
        <w:jc w:val="both"/>
      </w:pPr>
      <w:r>
        <w:rPr>
          <w:rFonts w:ascii="Times New Roman"/>
          <w:b w:val="false"/>
          <w:i w:val="false"/>
          <w:color w:val="000000"/>
          <w:sz w:val="28"/>
        </w:rPr>
        <w:t>
      1.3. Для лиц без гражданства, постоянно проживающих на территории Республики Казахстан:</w:t>
      </w:r>
    </w:p>
    <w:bookmarkEnd w:id="67"/>
    <w:p>
      <w:pPr>
        <w:spacing w:after="0"/>
        <w:ind w:left="0"/>
        <w:jc w:val="both"/>
      </w:pPr>
      <w:r>
        <w:rPr>
          <w:rFonts w:ascii="Times New Roman"/>
          <w:b w:val="false"/>
          <w:i w:val="false"/>
          <w:color w:val="000000"/>
          <w:sz w:val="28"/>
        </w:rPr>
        <w:t>
      удостоверение лица без гражданства.</w:t>
      </w:r>
    </w:p>
    <w:bookmarkStart w:name="z73" w:id="68"/>
    <w:p>
      <w:pPr>
        <w:spacing w:after="0"/>
        <w:ind w:left="0"/>
        <w:jc w:val="both"/>
      </w:pPr>
      <w:r>
        <w:rPr>
          <w:rFonts w:ascii="Times New Roman"/>
          <w:b w:val="false"/>
          <w:i w:val="false"/>
          <w:color w:val="000000"/>
          <w:sz w:val="28"/>
        </w:rPr>
        <w:t xml:space="preserve">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 </w:t>
      </w:r>
    </w:p>
    <w:bookmarkEnd w:id="68"/>
    <w:bookmarkStart w:name="z74" w:id="69"/>
    <w:p>
      <w:pPr>
        <w:spacing w:after="0"/>
        <w:ind w:left="0"/>
        <w:jc w:val="both"/>
      </w:pPr>
      <w:r>
        <w:rPr>
          <w:rFonts w:ascii="Times New Roman"/>
          <w:b w:val="false"/>
          <w:i w:val="false"/>
          <w:color w:val="000000"/>
          <w:sz w:val="28"/>
        </w:rPr>
        <w:t>
      3.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bookmarkEnd w:id="69"/>
    <w:bookmarkStart w:name="z75" w:id="70"/>
    <w:p>
      <w:pPr>
        <w:spacing w:after="0"/>
        <w:ind w:left="0"/>
        <w:jc w:val="both"/>
      </w:pPr>
      <w:r>
        <w:rPr>
          <w:rFonts w:ascii="Times New Roman"/>
          <w:b w:val="false"/>
          <w:i w:val="false"/>
          <w:color w:val="000000"/>
          <w:sz w:val="28"/>
        </w:rPr>
        <w:t>
      4. В отношении получателя пенсионных выплат, не являющегося вкладчиком пенсионных взносов, в досье клиента включаются сведения о получателе пенсионных выплат, предусмотренные разделами 1, 3, 4 Приложения 1.</w:t>
      </w:r>
    </w:p>
    <w:bookmarkEnd w:id="70"/>
    <w:p>
      <w:pPr>
        <w:spacing w:after="0"/>
        <w:ind w:left="0"/>
        <w:jc w:val="both"/>
      </w:pPr>
      <w:r>
        <w:rPr>
          <w:rFonts w:ascii="Times New Roman"/>
          <w:b w:val="false"/>
          <w:i w:val="false"/>
          <w:color w:val="000000"/>
          <w:sz w:val="28"/>
        </w:rPr>
        <w:t>
      При осуществлении пенсионных выплат, сформированных за счет добровольных пенсионных взносов, в досье клиента включаются также сведения о бенефициарном собственнике получателя пенсионных выплат.</w:t>
      </w:r>
    </w:p>
    <w:p>
      <w:pPr>
        <w:spacing w:after="0"/>
        <w:ind w:left="0"/>
        <w:jc w:val="both"/>
      </w:pPr>
      <w:r>
        <w:rPr>
          <w:rFonts w:ascii="Times New Roman"/>
          <w:b w:val="false"/>
          <w:i w:val="false"/>
          <w:color w:val="000000"/>
          <w:sz w:val="28"/>
        </w:rPr>
        <w:t xml:space="preserve">
      В случае нахождения получателя пенсионных выплат в перечне террористов, в досье клиента отражается соответствующая отметка. </w:t>
      </w:r>
    </w:p>
    <w:bookmarkStart w:name="z77" w:id="71"/>
    <w:p>
      <w:pPr>
        <w:spacing w:after="0"/>
        <w:ind w:left="0"/>
        <w:jc w:val="both"/>
      </w:pPr>
      <w:r>
        <w:rPr>
          <w:rFonts w:ascii="Times New Roman"/>
          <w:b w:val="false"/>
          <w:i w:val="false"/>
          <w:color w:val="000000"/>
          <w:sz w:val="28"/>
        </w:rPr>
        <w:t>
      5. Сведения о миграционных карточках не требуется получать в отношении граждан государств, входящих в Евразийский экономический союз.</w:t>
      </w:r>
    </w:p>
    <w:bookmarkEnd w:id="71"/>
    <w:bookmarkStart w:name="z78" w:id="72"/>
    <w:p>
      <w:pPr>
        <w:spacing w:after="0"/>
        <w:ind w:left="0"/>
        <w:jc w:val="both"/>
      </w:pPr>
      <w:r>
        <w:rPr>
          <w:rFonts w:ascii="Times New Roman"/>
          <w:b w:val="false"/>
          <w:i w:val="false"/>
          <w:color w:val="000000"/>
          <w:sz w:val="28"/>
        </w:rPr>
        <w:t>
      6. Сведения о персональном составе высшего органа коммерческой организации получаются в отношении физических и (или) юридических лиц, входящих в состав высшего органа и владеющих более двадцатью пятью процентами долей участия в уставном капитале либо размещенных акций коммерческой организации. По усмотрению фонда допускается получение сведений о персональном составе высшего органа коммерческой организации в отношении физических и (или) юридических лиц, входящих в состав высшего органа и владеющих двадцатью пятью и менее процентами долей участия в уставном капитале либо размещенных акций коммерческой организации.</w:t>
      </w:r>
    </w:p>
    <w:bookmarkEnd w:id="72"/>
    <w:p>
      <w:pPr>
        <w:spacing w:after="0"/>
        <w:ind w:left="0"/>
        <w:jc w:val="both"/>
      </w:pPr>
      <w:r>
        <w:rPr>
          <w:rFonts w:ascii="Times New Roman"/>
          <w:b w:val="false"/>
          <w:i w:val="false"/>
          <w:color w:val="000000"/>
          <w:sz w:val="28"/>
        </w:rPr>
        <w:t>
      Сведения о персональном составе высшего органа некоммерческой организации получаются в отношении физических и (или) юридических лиц, входящих в состав высшего органа либо являющихся учредителями некоммерческой организации, за исключением случаев, когда количество членов высшего органа либо количество учредителей некоммерческой организации превышает пять физических и (или) юридических лиц.</w:t>
      </w:r>
    </w:p>
    <w:bookmarkStart w:name="z76" w:id="73"/>
    <w:p>
      <w:pPr>
        <w:spacing w:after="0"/>
        <w:ind w:left="0"/>
        <w:jc w:val="left"/>
      </w:pPr>
      <w:r>
        <w:rPr>
          <w:rFonts w:ascii="Times New Roman"/>
          <w:b/>
          <w:i w:val="false"/>
          <w:color w:val="000000"/>
        </w:rPr>
        <w:t xml:space="preserve"> Условные обозначения:</w:t>
      </w:r>
    </w:p>
    <w:bookmarkEnd w:id="73"/>
    <w:p>
      <w:pPr>
        <w:spacing w:after="0"/>
        <w:ind w:left="0"/>
        <w:jc w:val="left"/>
      </w:pP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15900" cy="203200"/>
                    </a:xfrm>
                    <a:prstGeom prst="rect">
                      <a:avLst/>
                    </a:prstGeom>
                  </pic:spPr>
                </pic:pic>
              </a:graphicData>
            </a:graphic>
          </wp:inline>
        </w:drawing>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необходимость фиксирования соответствующих сведений и проверки их достоверности.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header.xml" Type="http://schemas.openxmlformats.org/officeDocument/2006/relationships/header" Id="rId4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