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3584" w14:textId="ec93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Илийского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Илийского района Алматинской области от 10 февраля 2014 года N 28-132. Зарегистрировано Департаментом юстиции Алматинской области 18 марта 2014 года N 2615. Утратило силу решением Илийского районного маслихата Алматинской области от 9 июля 2021 года №10-35</w:t>
      </w:r>
    </w:p>
    <w:p>
      <w:pPr>
        <w:spacing w:after="0"/>
        <w:ind w:left="0"/>
        <w:jc w:val="both"/>
      </w:pPr>
      <w:r>
        <w:rPr>
          <w:rFonts w:ascii="Times New Roman"/>
          <w:b w:val="false"/>
          <w:i w:val="false"/>
          <w:color w:val="ff0000"/>
          <w:sz w:val="28"/>
        </w:rPr>
        <w:t xml:space="preserve">
      Сноска. Утратило силу решением Илийского районного маслихата Алматинской области от 09.07.2021 </w:t>
      </w:r>
      <w:r>
        <w:rPr>
          <w:rFonts w:ascii="Times New Roman"/>
          <w:b w:val="false"/>
          <w:i w:val="false"/>
          <w:color w:val="ff0000"/>
          <w:sz w:val="28"/>
        </w:rPr>
        <w:t>№10-35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w:t>
      </w:r>
      <w:r>
        <w:rPr>
          <w:rFonts w:ascii="Times New Roman"/>
          <w:b w:val="false"/>
          <w:i w:val="false"/>
          <w:color w:val="000000"/>
          <w:sz w:val="28"/>
        </w:rPr>
        <w:t xml:space="preserve"> 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Илийский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 xml:space="preserve"> Регламент</w:t>
      </w:r>
      <w:r>
        <w:rPr>
          <w:rFonts w:ascii="Times New Roman"/>
          <w:b w:val="false"/>
          <w:i w:val="false"/>
          <w:color w:val="000000"/>
          <w:sz w:val="28"/>
        </w:rPr>
        <w:t xml:space="preserve"> Илийского районного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района Копбаевой Тлеукен Отыншиевне.</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сессии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Мухтарова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районного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Турымбетов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w:t>
            </w:r>
            <w:r>
              <w:br/>
            </w:r>
            <w:r>
              <w:rPr>
                <w:rFonts w:ascii="Times New Roman"/>
                <w:b w:val="false"/>
                <w:i w:val="false"/>
                <w:color w:val="000000"/>
                <w:sz w:val="20"/>
              </w:rPr>
              <w:t xml:space="preserve">районного маслихата N 28-132 </w:t>
            </w:r>
            <w:r>
              <w:br/>
            </w:r>
            <w:r>
              <w:rPr>
                <w:rFonts w:ascii="Times New Roman"/>
                <w:b w:val="false"/>
                <w:i w:val="false"/>
                <w:color w:val="000000"/>
                <w:sz w:val="20"/>
              </w:rPr>
              <w:t>от 10 февраля 2014 года "Об</w:t>
            </w:r>
            <w:r>
              <w:br/>
            </w:r>
            <w:r>
              <w:rPr>
                <w:rFonts w:ascii="Times New Roman"/>
                <w:b w:val="false"/>
                <w:i w:val="false"/>
                <w:color w:val="000000"/>
                <w:sz w:val="20"/>
              </w:rPr>
              <w:t>утверждении Регламента</w:t>
            </w:r>
            <w:r>
              <w:br/>
            </w:r>
            <w:r>
              <w:rPr>
                <w:rFonts w:ascii="Times New Roman"/>
                <w:b w:val="false"/>
                <w:i w:val="false"/>
                <w:color w:val="000000"/>
                <w:sz w:val="20"/>
              </w:rPr>
              <w:t>Илийского районного маслихата"</w:t>
            </w:r>
          </w:p>
        </w:tc>
      </w:tr>
    </w:tbl>
    <w:bookmarkStart w:name="z6" w:id="4"/>
    <w:p>
      <w:pPr>
        <w:spacing w:after="0"/>
        <w:ind w:left="0"/>
        <w:jc w:val="left"/>
      </w:pPr>
      <w:r>
        <w:rPr>
          <w:rFonts w:ascii="Times New Roman"/>
          <w:b/>
          <w:i w:val="false"/>
          <w:color w:val="000000"/>
        </w:rPr>
        <w:t xml:space="preserve"> Регламент Илийского районного маслихата</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Настоящий регламент Илийского районного маслихата (далее - регламент) разработан в соответствии с </w:t>
      </w:r>
      <w:r>
        <w:rPr>
          <w:rFonts w:ascii="Times New Roman"/>
          <w:b w:val="false"/>
          <w:i w:val="false"/>
          <w:color w:val="000000"/>
          <w:sz w:val="28"/>
        </w:rPr>
        <w:t xml:space="preserve"> 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Илийский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8"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22. При рассмотрении вопроса на сессии заслушивается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Отчет ревизионной комиссии области об исполнении бюджета рассматриваются маслихатом ежегодно.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Илийского районного маслихата Алматинской области от 29.04.2014 </w:t>
      </w:r>
      <w:r>
        <w:rPr>
          <w:rFonts w:ascii="Times New Roman"/>
          <w:b w:val="false"/>
          <w:i w:val="false"/>
          <w:color w:val="000000"/>
          <w:sz w:val="28"/>
        </w:rPr>
        <w:t xml:space="preserve"> N 32-159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Отчет маслихата представляется населению города,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9"/>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41. Председатель сессии маслихата:</w:t>
      </w:r>
    </w:p>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Start w:name="z15" w:id="10"/>
    <w:p>
      <w:pPr>
        <w:spacing w:after="0"/>
        <w:ind w:left="0"/>
        <w:jc w:val="left"/>
      </w:pPr>
      <w:r>
        <w:rPr>
          <w:rFonts w:ascii="Times New Roman"/>
          <w:b/>
          <w:i w:val="false"/>
          <w:color w:val="000000"/>
        </w:rPr>
        <w:t xml:space="preserve"> 5.2. Секретарь маслихата</w:t>
      </w:r>
    </w:p>
    <w:bookmarkEnd w:id="1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both"/>
      </w:pPr>
      <w:r>
        <w:rPr>
          <w:rFonts w:ascii="Times New Roman"/>
          <w:b w:val="false"/>
          <w:i w:val="false"/>
          <w:color w:val="000000"/>
          <w:sz w:val="28"/>
        </w:rPr>
        <w:t>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Start w:name="z16" w:id="11"/>
    <w:p>
      <w:pPr>
        <w:spacing w:after="0"/>
        <w:ind w:left="0"/>
        <w:jc w:val="left"/>
      </w:pPr>
      <w:r>
        <w:rPr>
          <w:rFonts w:ascii="Times New Roman"/>
          <w:b/>
          <w:i w:val="false"/>
          <w:color w:val="000000"/>
        </w:rPr>
        <w:t xml:space="preserve"> 5.3. Постоянные и временные комиссии маслихата</w:t>
      </w:r>
    </w:p>
    <w:bookmarkEnd w:id="11"/>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 xml:space="preserve"> О государственных секретах</w:t>
      </w:r>
      <w:r>
        <w:rPr>
          <w:rFonts w:ascii="Times New Roman"/>
          <w:b w:val="false"/>
          <w:i w:val="false"/>
          <w:color w:val="000000"/>
          <w:sz w:val="28"/>
        </w:rPr>
        <w:t>"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17" w:id="12"/>
    <w:p>
      <w:pPr>
        <w:spacing w:after="0"/>
        <w:ind w:left="0"/>
        <w:jc w:val="left"/>
      </w:pPr>
      <w:r>
        <w:rPr>
          <w:rFonts w:ascii="Times New Roman"/>
          <w:b/>
          <w:i w:val="false"/>
          <w:color w:val="000000"/>
        </w:rPr>
        <w:t xml:space="preserve"> 5.4 Редакционная и счетная комиссия маслихата</w:t>
      </w:r>
    </w:p>
    <w:bookmarkEnd w:id="12"/>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18" w:id="13"/>
    <w:p>
      <w:pPr>
        <w:spacing w:after="0"/>
        <w:ind w:left="0"/>
        <w:jc w:val="left"/>
      </w:pPr>
      <w:r>
        <w:rPr>
          <w:rFonts w:ascii="Times New Roman"/>
          <w:b/>
          <w:i w:val="false"/>
          <w:color w:val="000000"/>
        </w:rPr>
        <w:t xml:space="preserve"> 5.5 Депутатские объединения в маслихатах</w:t>
      </w:r>
    </w:p>
    <w:bookmarkEnd w:id="13"/>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56.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Start w:name="z19" w:id="14"/>
    <w:p>
      <w:pPr>
        <w:spacing w:after="0"/>
        <w:ind w:left="0"/>
        <w:jc w:val="left"/>
      </w:pPr>
      <w:r>
        <w:rPr>
          <w:rFonts w:ascii="Times New Roman"/>
          <w:b/>
          <w:i w:val="false"/>
          <w:color w:val="000000"/>
        </w:rPr>
        <w:t xml:space="preserve"> 6. Депутатская этика</w:t>
      </w:r>
    </w:p>
    <w:bookmarkEnd w:id="14"/>
    <w:p>
      <w:pPr>
        <w:spacing w:after="0"/>
        <w:ind w:left="0"/>
        <w:jc w:val="both"/>
      </w:pPr>
      <w:r>
        <w:rPr>
          <w:rFonts w:ascii="Times New Roman"/>
          <w:b w:val="false"/>
          <w:i w:val="false"/>
          <w:color w:val="000000"/>
          <w:sz w:val="28"/>
        </w:rPr>
        <w:t>
      58.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Start w:name="z20" w:id="15"/>
    <w:p>
      <w:pPr>
        <w:spacing w:after="0"/>
        <w:ind w:left="0"/>
        <w:jc w:val="left"/>
      </w:pPr>
      <w:r>
        <w:rPr>
          <w:rFonts w:ascii="Times New Roman"/>
          <w:b/>
          <w:i w:val="false"/>
          <w:color w:val="000000"/>
        </w:rPr>
        <w:t xml:space="preserve"> 7. Организация работы аппарата маслихата</w:t>
      </w:r>
    </w:p>
    <w:bookmarkEnd w:id="1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