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0d13" w14:textId="bdd0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15 октября 2014 года № 38-3. Зарегистрировано Департаментом юстиции Алматинской области 17 ноября 2014 года № 2918. Утратило силу решением Алакольского районного маслихата Алматинской области от 29 апреля 2016 года № 3-13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Алакольского районного маслихата Алматинской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Алакольского района,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"По вопросам социального развития и депутатского полномочия".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"15"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38-3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Алакольского района"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</w:t>
      </w:r>
      <w:r>
        <w:br/>
      </w:r>
      <w:r>
        <w:rPr>
          <w:rFonts w:ascii="Times New Roman"/>
          <w:b/>
          <w:i w:val="false"/>
          <w:color w:val="000000"/>
        </w:rPr>
        <w:t>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участники и инвалиды Великой Отечественной войны –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лица,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другие категории лиц,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граждане имеющие социально-значимые заболевания –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 среднего образования Республики Казахстан –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при причинении ущерба гражданину (семье) либо его имуществу вследствие стихийного бедствия или пожара –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сведения о составе лица (семьи) согласно приложению 1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акт и/или документ, подтверждающий наступление трудной жизненной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выявления недостоверных сведений, представленных заявителями;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Отношения, не урегулированные настоящими Правилами,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