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0d13" w14:textId="bdd0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15 октября 2014 года № 38-3. Зарегистрировано Департаментом юстиции Алматинской области 17 ноября 2014 года № 2918. Утратило силу решением Алакольского районного маслихата Алматинской области от 29 апреля 2016 года № 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Алакольского районного маслихата Алматинской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Алакольского района,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"По вопросам социального развития и депутатского полномочия".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"15"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38-3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Алакольского района"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</w:t>
      </w:r>
      <w:r>
        <w:br/>
      </w:r>
      <w:r>
        <w:rPr>
          <w:rFonts w:ascii="Times New Roman"/>
          <w:b/>
          <w:i w:val="false"/>
          <w:color w:val="000000"/>
        </w:rPr>
        <w:t>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участники и инвалиды Великой Отечественной войны –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лица,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категории лиц,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граждане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 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сведения о составе лица (семьи) согласно приложению 1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акт и/или документ, подтверждающий наступление трудной жизненной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выявления недостоверных сведений, представленных заявителями;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Отношения, не урегулированные настоящими Правилами,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