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1d98" w14:textId="33b1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07 февраля 2014 года N 201. Зарегистрировано Департаментом юстиции Алматинской области 04 марта 2014 года N 2602. Утратило силу решением Талдыкорганского городского маслихата Алматинской области от 02 июня 2014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02.06.2014 №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претендующего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по городу Талдыкорган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 сессии                               Б. Аркабаев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Талдыкорган"                               Мұхаметжан Шайзада Базарбайұлы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Талдыкорган"         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февраля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Талдыкорган" от "7"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N 201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по городу Талдыкорган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города Талдыкорган" государственное учреждение,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городе Талдыкорган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восьми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предыдущий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информирует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(один маленький газовый баллон) в месяц на семью, семьям проживающим в многоквартирном жилом доме при наличии центрального газоснабжения, независимо от наличия или отсутствия центрального горячего водоснабжения - по фактическим расходам, 4,8 килограмм на каждого члена семьи, семьям из 4-х и более человек не превыщающий 20 килограммов в месяц,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–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три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70 тенге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содержание жилого дома (жилого здания) согласно счета о размере целевого взноса.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Финансирование выплат жилищной помощи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