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9b7f" w14:textId="e629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ноября 2014 года № 410. Зарегистрировано Департаментом юстиции Алматинской области 25 декабря 2014 года № 2966. Утратило силу постановлением акимата Алматинской области от 22 сентября 2015 года № 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регламентов государственных услуг в области охраны окружающей среды" от 11 октября 2012 года № 304 (зарегистрированного Департаментом юстиции Алматинской области от 12 ноября 2012 года № 2168, опубликованного в газетах "Жетысу" и "Огни Алатау" 27 ноября 2012 года № 134);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от 22 ноября 2012 года № 366 (зарегистрированного Департаментом юстиции Алматинской области от 10 декабря 2012 года № 2211, опубликованного в газетах "Жетысу" и "Огни Алатау" 22 декабря 2012 года № 143).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 внесении изменений в постановление акимата области от 22 ноября 2012 года № 366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от 13 февраля 2014 года № 19 (зарегистрированного Департаментом юстиции Алматинской области от 13 марта 2014 года № 2611, опубликованного в газетах "Жетысу" и "Огни Алатау" 27 марта 2014 года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410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</w:t>
      </w:r>
      <w:r>
        <w:br/>
      </w:r>
      <w:r>
        <w:rPr>
          <w:rFonts w:ascii="Times New Roman"/>
          <w:b/>
          <w:i w:val="false"/>
          <w:color w:val="000000"/>
        </w:rPr>
        <w:t>в окружающую среду для объектов II, III и IV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разрешений на эмиссии в окружающую среду для объектов II, III и IV категорий", утвержденного постановлением Правительства Республики Казахстан от 26 июня 2014 года № 702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2..Форма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3..Результат оказания государственной услуги – разрешение, переоформление разрешения на эмиссии в окружающую среду для объектов II, III, IV категории (далее – разрешение) либо мотивированный ответ услугодателя об отказе в дальнейшем рассмотрении заявления, в случаях и по основаниям, предусмотренным пунктом 10 Стандарта, в форме электронного документа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4..Основанием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5..Содержание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1). прием и регистрация документов, направление руководителю услугодателя. Результат –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3).рассмотрение документов и оформление разрешения либо мотивированного ответа об отказе в дальнейшем рассмотрения заявления, направление руководителю услугодателя для подписания. Результат – оформление разрешения либо мотивированного ответа об отказе в дальнейшем рассмотрения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4).подписание разрешения либо мотивированного ответа об отказе в дальнейшем рассмотрения заявления, передача на регистрацию в канцелярию услугодателя. Результат – регистрация разрешения либо мотивированного ответа об отказе в дальнейшем рассмотрения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5).выдача результата оказания государственной услуги. Результат – выдача разрешения либо мотивированного ответа об отказе в дальнейшем рассмотрения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7..Описание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8..Для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9..Описание процесса получения результата оказания государственной услуги через центр, приведены в приложении 2 настоящего регламента.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10..Описание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1).услугополучатель регистрируется на портале, направляет электронное заявление удостоверенное ЭЦП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2).в "личный кабинет" услугополучателя направляется уведомление – отчет о принятии запроса для оказания государственной услуги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3).после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4).результат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410</w:t>
            </w:r>
          </w:p>
        </w:tc>
      </w:tr>
    </w:tbl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экологической экспертизы для объектов II, III и</w:t>
      </w:r>
      <w:r>
        <w:br/>
      </w:r>
      <w:r>
        <w:rPr>
          <w:rFonts w:ascii="Times New Roman"/>
          <w:b/>
          <w:i w:val="false"/>
          <w:color w:val="000000"/>
        </w:rPr>
        <w:t>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1..Государственная услуга "Выдача заключений государственной экологической экспертизы для объектов II, III и IV категорий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заключений государственной экологической экспертизы для объектов II, III и IV категорий, утвержденного постановлением Правительства Республики Казахстан от 26 июня 2014 года № 702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2..Форма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3..Результат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"согласовывается/не согласовывается" (далее – заключение), в форме электронного документа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руководителю услугодателя. Результат –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и оформление заключения, направление руководителю услугодателя для подписания. Результат – оформление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заключения, передача на регистрацию в канцелярию услугодателя. Результат – регистрация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оказания государственной услуги. Результат – выдача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6..Перечень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приведены в приложении 2 настоящего регламента.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ЭЦП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"личный кабинет" услугополучателя направляется уведомление - отчет о принятии запроса для оказания государственной услуги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410</w:t>
            </w:r>
          </w:p>
        </w:tc>
      </w:tr>
    </w:tbl>
    <w:bookmarkStart w:name="z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области решения по закреплению</w:t>
      </w:r>
      <w:r>
        <w:br/>
      </w:r>
      <w:r>
        <w:rPr>
          <w:rFonts w:ascii="Times New Roman"/>
          <w:b/>
          <w:i w:val="false"/>
          <w:color w:val="000000"/>
        </w:rPr>
        <w:t>охотничьих угодий и рыбохозяйственных водоемов и (или) участков</w:t>
      </w:r>
      <w:r>
        <w:br/>
      </w:r>
      <w:r>
        <w:rPr>
          <w:rFonts w:ascii="Times New Roman"/>
          <w:b/>
          <w:i w:val="false"/>
          <w:color w:val="000000"/>
        </w:rPr>
        <w:t>за пользователями животным миром и установлению сервитутов для</w:t>
      </w:r>
      <w:r>
        <w:br/>
      </w:r>
      <w:r>
        <w:rPr>
          <w:rFonts w:ascii="Times New Roman"/>
          <w:b/>
          <w:i w:val="false"/>
          <w:color w:val="000000"/>
        </w:rPr>
        <w:t>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бесплатно физическим и юридическим лицам (далее – услугополучатель)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постановлением Правительства Республики Казахстан от 26 июня 2014 года № 702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приеме соответствующих документов (с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документов; фамилии, имени, отчества должностного лица услугодателя принявшего заявление на оформление документов), направление документов руководителю услугодателя. Длительность – не более 30 (тридцати) минут. Результат – выдача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документов, наложение резолюции, определение ответственного исполнителя услугодателя. Длительность – не более 3 (трех) часов.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предоставленного пакета документов на полноту с уведомлением услугополучателя в случае нехватки какого – либо документа. Длительность – в течение 2 (двух) рабочих дней. Результат – проверка предоставленного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проекта Постановления, оформление Постановления. Длительность – не более 12 (двенадцати) рабочих дней. Результат – оформление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Постановления услугополучателю. Длительность – не более 30 (тридцати) минут. Результат – выдача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3..Описание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 и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 (или) участков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 животным миром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сервитутов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и рыбного хозяйства"</w:t>
            </w:r>
          </w:p>
        </w:tc>
      </w:tr>
    </w:tbl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