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3338" w14:textId="242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24 июля 2014 года N 34-202. Зарегистрировано Департаментом юстиции Алматинской области 26 августа 2014 года N 2835. Утратило силу решением Алматинского областного маслихата от 02 декабря 2014 года № 39-224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Алматинского областного маслихата от 02.12.2014 № 39-224.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и порядок перевозки в общеобразовательные школы детей, проживающих в отдаленных населенных пунктах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контроля за исполнением настоящего решения возложить на курирующего заместителя акима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Балакойшиев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Келемсейт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июля 2014 года № 34-202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
в отдаленных населенных пунктах Алматинской области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2898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июля 2014 года № 34-202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отдаленных населенных пунктах Алматинской области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перевозки в общеобразовательные школы детей, проживающих в отдаленных населенных пунктах Алматинской области (далее – Порядок) разработан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перевозок детей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