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a4bc" w14:textId="e61a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и перечня документов, подтверждающих соответствие им, для осуществления охранной деятельности</w:t>
      </w:r>
    </w:p>
    <w:p>
      <w:pPr>
        <w:spacing w:after="0"/>
        <w:ind w:left="0"/>
        <w:jc w:val="both"/>
      </w:pPr>
      <w:r>
        <w:rPr>
          <w:rFonts w:ascii="Times New Roman"/>
          <w:b w:val="false"/>
          <w:i w:val="false"/>
          <w:color w:val="000000"/>
          <w:sz w:val="28"/>
        </w:rPr>
        <w:t>Приказ Министра внутренних дел Республики Казахстан от 30 декабря 2014 года № 959. Зарегистрирован в Министерстве юстиции Республики Казахстан 3 марта 2015 года № 10371.</w:t>
      </w:r>
    </w:p>
    <w:p>
      <w:pPr>
        <w:spacing w:after="0"/>
        <w:ind w:left="0"/>
        <w:jc w:val="both"/>
      </w:pPr>
      <w:bookmarkStart w:name="z1"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 и перечень</w:t>
      </w:r>
      <w:r>
        <w:rPr>
          <w:rFonts w:ascii="Times New Roman"/>
          <w:b w:val="false"/>
          <w:i w:val="false"/>
          <w:color w:val="000000"/>
          <w:sz w:val="28"/>
        </w:rPr>
        <w:t xml:space="preserve"> документов, подтверждающих соответствие им для осуществления охранной деятельности. </w:t>
      </w:r>
    </w:p>
    <w:bookmarkEnd w:id="1"/>
    <w:bookmarkStart w:name="z3" w:id="2"/>
    <w:p>
      <w:pPr>
        <w:spacing w:after="0"/>
        <w:ind w:left="0"/>
        <w:jc w:val="both"/>
      </w:pPr>
      <w:r>
        <w:rPr>
          <w:rFonts w:ascii="Times New Roman"/>
          <w:b w:val="false"/>
          <w:i w:val="false"/>
          <w:color w:val="000000"/>
          <w:sz w:val="28"/>
        </w:rPr>
        <w:t xml:space="preserve">
      2. Комитету административной полиции Министерства внутренних дел Республики Казахстан (Лепеха И.В.): </w:t>
      </w:r>
    </w:p>
    <w:bookmarkEnd w:id="2"/>
    <w:p>
      <w:pPr>
        <w:spacing w:after="0"/>
        <w:ind w:left="0"/>
        <w:jc w:val="both"/>
      </w:pP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и его официальное опубликование; </w:t>
      </w:r>
    </w:p>
    <w:p>
      <w:pPr>
        <w:spacing w:after="0"/>
        <w:ind w:left="0"/>
        <w:jc w:val="both"/>
      </w:pPr>
      <w:r>
        <w:rPr>
          <w:rFonts w:ascii="Times New Roman"/>
          <w:b w:val="false"/>
          <w:i w:val="false"/>
          <w:color w:val="000000"/>
          <w:sz w:val="28"/>
        </w:rPr>
        <w:t>
      2) обеспечить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3. Начальникам департаментов внутренних дел областей, городов Астаны и Алматы организовать изучение настоящего приказа сотрудниками соответствующих служб и обеспечить его неукоснительное исполнение.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генерал-майора полиции Тургумбаева Е.З.</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А. Исекешев   </w:t>
      </w:r>
    </w:p>
    <w:p>
      <w:pPr>
        <w:spacing w:after="0"/>
        <w:ind w:left="0"/>
        <w:jc w:val="both"/>
      </w:pPr>
      <w:r>
        <w:rPr>
          <w:rFonts w:ascii="Times New Roman"/>
          <w:b w:val="false"/>
          <w:i w:val="false"/>
          <w:color w:val="000000"/>
          <w:sz w:val="28"/>
        </w:rPr>
        <w:t xml:space="preserve">
      "___" _________________ 201 года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29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959</w:t>
            </w:r>
          </w:p>
        </w:tc>
      </w:tr>
    </w:tbl>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Квалификационные требования и перечень документов, подтверждающих соответствие им, для осуществления охранной деятельности</w:t>
      </w:r>
    </w:p>
    <w:bookmarkEnd w:id="6"/>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внутренних дел РК от 15.03.2021 </w:t>
      </w:r>
      <w:r>
        <w:rPr>
          <w:rFonts w:ascii="Times New Roman"/>
          <w:b w:val="false"/>
          <w:i w:val="false"/>
          <w:color w:val="ff0000"/>
          <w:sz w:val="28"/>
        </w:rPr>
        <w:t>№ 146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приказом Министра внутренних дел РК от 19.08.2021 </w:t>
      </w:r>
      <w:r>
        <w:rPr>
          <w:rFonts w:ascii="Times New Roman"/>
          <w:b w:val="false"/>
          <w:i w:val="false"/>
          <w:color w:val="ff0000"/>
          <w:sz w:val="28"/>
        </w:rPr>
        <w:t>№ 489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00"/>
        <w:gridCol w:w="695"/>
        <w:gridCol w:w="8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Квалификационные требования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Должность руководителя частной охранной организации, в том числе филиала и представительства, не может занимать лицо: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имеющее гражданства Республики Казахстан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Государственной базы данных "Физические лица" (далее – ГБД ФЛ)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имеющее высшее юридическое образование или стаж работы не менее трех лет на командных должностях в Вооруженных Силах, других войсках и воинских формированиях или на руководящих должностях в правоохранительных и специальных органах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или сведения подтверждающие трудовую деятельность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информационной системы Министерства образования и науки Республики Казахстан или информационной системы Министерства труда и социальной защиты населения Республики Казахстан (далее – ИС МТСЗН РК)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прошедшее специальную подготовку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специализированного учебного центра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проверкой подразделением лицензиара по месту осуществления деятельности заявителя, лицензиата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психическими, поведенческими расстройствами (заболеваниями), в том числе связанными с употреблением психоактивных веществ, состоящее на учете в организациях, оказывающих медицинскую помощь в области психического здоровья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справки из организаций, оказывающих медицинскую помощь в области психического здоровья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информационной системы Министерства здравоохранения Республики Казахстан (далее – ИС МЗ РК)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имеющее судимость за совершение преступления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наличии либо отсутствии судимости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автоматизированной информационной системы "Специальные учеты" Комитета по правовой статистике и специальным учетам Генеральной прокуратуры Республики Казахстан (далее – АИС СУ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освобожденное от уголовной ответственности на основании пунктов 3), 4), 9), 10) и 12) части первой статьи 35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совершении лицом уголовного и/или административного правонарушения</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информационного сервиса Комитета по правовой статистике и специальным учетам Генеральной прокуратуры Республики Казахстан (далее –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 а также в течение одного года до принятия на должность охранника или в период нахождения в данной должности освобожденного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статьи 36 Уголовно-процессуального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привлеченное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 предусмотренных </w:t>
            </w:r>
            <w:r>
              <w:rPr>
                <w:rFonts w:ascii="Times New Roman"/>
                <w:b w:val="false"/>
                <w:i w:val="false"/>
                <w:color w:val="000000"/>
                <w:sz w:val="20"/>
              </w:rPr>
              <w:t>статьями 149</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439</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463</w:t>
            </w:r>
            <w:r>
              <w:rPr>
                <w:rFonts w:ascii="Times New Roman"/>
                <w:b w:val="false"/>
                <w:i w:val="false"/>
                <w:color w:val="000000"/>
                <w:sz w:val="20"/>
              </w:rPr>
              <w:t xml:space="preserve">, </w:t>
            </w:r>
            <w:r>
              <w:rPr>
                <w:rFonts w:ascii="Times New Roman"/>
                <w:b w:val="false"/>
                <w:i w:val="false"/>
                <w:color w:val="000000"/>
                <w:sz w:val="20"/>
              </w:rPr>
              <w:t>464</w:t>
            </w:r>
            <w:r>
              <w:rPr>
                <w:rFonts w:ascii="Times New Roman"/>
                <w:b w:val="false"/>
                <w:i w:val="false"/>
                <w:color w:val="000000"/>
                <w:sz w:val="20"/>
              </w:rPr>
              <w:t xml:space="preserve">, </w:t>
            </w:r>
            <w:r>
              <w:rPr>
                <w:rFonts w:ascii="Times New Roman"/>
                <w:b w:val="false"/>
                <w:i w:val="false"/>
                <w:color w:val="000000"/>
                <w:sz w:val="20"/>
              </w:rPr>
              <w:t>469</w:t>
            </w:r>
            <w:r>
              <w:rPr>
                <w:rFonts w:ascii="Times New Roman"/>
                <w:b w:val="false"/>
                <w:i w:val="false"/>
                <w:color w:val="000000"/>
                <w:sz w:val="20"/>
              </w:rPr>
              <w:t xml:space="preserve">, </w:t>
            </w:r>
            <w:r>
              <w:rPr>
                <w:rFonts w:ascii="Times New Roman"/>
                <w:b w:val="false"/>
                <w:i w:val="false"/>
                <w:color w:val="000000"/>
                <w:sz w:val="20"/>
              </w:rPr>
              <w:t>470</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479</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483</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488</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494</w:t>
            </w:r>
            <w:r>
              <w:rPr>
                <w:rFonts w:ascii="Times New Roman"/>
                <w:b w:val="false"/>
                <w:i w:val="false"/>
                <w:color w:val="000000"/>
                <w:sz w:val="20"/>
              </w:rPr>
              <w:t xml:space="preserve">, </w:t>
            </w:r>
            <w:r>
              <w:rPr>
                <w:rFonts w:ascii="Times New Roman"/>
                <w:b w:val="false"/>
                <w:i w:val="false"/>
                <w:color w:val="000000"/>
                <w:sz w:val="20"/>
              </w:rPr>
              <w:t>495</w:t>
            </w:r>
            <w:r>
              <w:rPr>
                <w:rFonts w:ascii="Times New Roman"/>
                <w:b w:val="false"/>
                <w:i w:val="false"/>
                <w:color w:val="000000"/>
                <w:sz w:val="20"/>
              </w:rPr>
              <w:t xml:space="preserve">, </w:t>
            </w:r>
            <w:r>
              <w:rPr>
                <w:rFonts w:ascii="Times New Roman"/>
                <w:b w:val="false"/>
                <w:i w:val="false"/>
                <w:color w:val="000000"/>
                <w:sz w:val="20"/>
              </w:rPr>
              <w:t>496</w:t>
            </w:r>
            <w:r>
              <w:rPr>
                <w:rFonts w:ascii="Times New Roman"/>
                <w:b w:val="false"/>
                <w:i w:val="false"/>
                <w:color w:val="000000"/>
                <w:sz w:val="20"/>
              </w:rPr>
              <w:t xml:space="preserve">, </w:t>
            </w:r>
            <w:r>
              <w:rPr>
                <w:rFonts w:ascii="Times New Roman"/>
                <w:b w:val="false"/>
                <w:i w:val="false"/>
                <w:color w:val="000000"/>
                <w:sz w:val="20"/>
              </w:rPr>
              <w:t>504</w:t>
            </w:r>
            <w:r>
              <w:rPr>
                <w:rFonts w:ascii="Times New Roman"/>
                <w:b w:val="false"/>
                <w:i w:val="false"/>
                <w:color w:val="000000"/>
                <w:sz w:val="20"/>
              </w:rPr>
              <w:t xml:space="preserve">, </w:t>
            </w:r>
            <w:r>
              <w:rPr>
                <w:rFonts w:ascii="Times New Roman"/>
                <w:b w:val="false"/>
                <w:i w:val="false"/>
                <w:color w:val="000000"/>
                <w:sz w:val="20"/>
              </w:rPr>
              <w:t>506</w:t>
            </w:r>
            <w:r>
              <w:rPr>
                <w:rFonts w:ascii="Times New Roman"/>
                <w:b w:val="false"/>
                <w:i w:val="false"/>
                <w:color w:val="000000"/>
                <w:sz w:val="20"/>
              </w:rPr>
              <w:t xml:space="preserve">, </w:t>
            </w:r>
            <w:r>
              <w:rPr>
                <w:rFonts w:ascii="Times New Roman"/>
                <w:b w:val="false"/>
                <w:i w:val="false"/>
                <w:color w:val="000000"/>
                <w:sz w:val="20"/>
              </w:rPr>
              <w:t>653</w:t>
            </w:r>
            <w:r>
              <w:rPr>
                <w:rFonts w:ascii="Times New Roman"/>
                <w:b w:val="false"/>
                <w:i w:val="false"/>
                <w:color w:val="000000"/>
                <w:sz w:val="20"/>
              </w:rPr>
              <w:t xml:space="preserve">, </w:t>
            </w:r>
            <w:r>
              <w:rPr>
                <w:rFonts w:ascii="Times New Roman"/>
                <w:b w:val="false"/>
                <w:i w:val="false"/>
                <w:color w:val="000000"/>
                <w:sz w:val="20"/>
              </w:rPr>
              <w:t>654</w:t>
            </w:r>
            <w:r>
              <w:rPr>
                <w:rFonts w:ascii="Times New Roman"/>
                <w:b w:val="false"/>
                <w:i w:val="false"/>
                <w:color w:val="000000"/>
                <w:sz w:val="20"/>
              </w:rPr>
              <w:t xml:space="preserve">, </w:t>
            </w:r>
            <w:r>
              <w:rPr>
                <w:rFonts w:ascii="Times New Roman"/>
                <w:b w:val="false"/>
                <w:i w:val="false"/>
                <w:color w:val="000000"/>
                <w:sz w:val="20"/>
              </w:rPr>
              <w:t>658</w:t>
            </w:r>
            <w:r>
              <w:rPr>
                <w:rFonts w:ascii="Times New Roman"/>
                <w:b w:val="false"/>
                <w:i w:val="false"/>
                <w:color w:val="000000"/>
                <w:sz w:val="20"/>
              </w:rPr>
              <w:t xml:space="preserve">, </w:t>
            </w:r>
            <w:r>
              <w:rPr>
                <w:rFonts w:ascii="Times New Roman"/>
                <w:b w:val="false"/>
                <w:i w:val="false"/>
                <w:color w:val="000000"/>
                <w:sz w:val="20"/>
              </w:rPr>
              <w:t>659</w:t>
            </w:r>
            <w:r>
              <w:rPr>
                <w:rFonts w:ascii="Times New Roman"/>
                <w:b w:val="false"/>
                <w:i w:val="false"/>
                <w:color w:val="000000"/>
                <w:sz w:val="20"/>
              </w:rPr>
              <w:t xml:space="preserve">, </w:t>
            </w:r>
            <w:r>
              <w:rPr>
                <w:rFonts w:ascii="Times New Roman"/>
                <w:b w:val="false"/>
                <w:i w:val="false"/>
                <w:color w:val="000000"/>
                <w:sz w:val="20"/>
              </w:rPr>
              <w:t>665</w:t>
            </w:r>
            <w:r>
              <w:rPr>
                <w:rFonts w:ascii="Times New Roman"/>
                <w:b w:val="false"/>
                <w:i w:val="false"/>
                <w:color w:val="000000"/>
                <w:sz w:val="20"/>
              </w:rPr>
              <w:t xml:space="preserve">, </w:t>
            </w:r>
            <w:r>
              <w:rPr>
                <w:rFonts w:ascii="Times New Roman"/>
                <w:b w:val="false"/>
                <w:i w:val="false"/>
                <w:color w:val="000000"/>
                <w:sz w:val="20"/>
              </w:rPr>
              <w:t>667</w:t>
            </w:r>
            <w:r>
              <w:rPr>
                <w:rFonts w:ascii="Times New Roman"/>
                <w:b w:val="false"/>
                <w:i w:val="false"/>
                <w:color w:val="000000"/>
                <w:sz w:val="20"/>
              </w:rPr>
              <w:t xml:space="preserve">, </w:t>
            </w:r>
            <w:r>
              <w:rPr>
                <w:rFonts w:ascii="Times New Roman"/>
                <w:b w:val="false"/>
                <w:i w:val="false"/>
                <w:color w:val="000000"/>
                <w:sz w:val="20"/>
              </w:rPr>
              <w:t>669</w:t>
            </w:r>
            <w:r>
              <w:rPr>
                <w:rFonts w:ascii="Times New Roman"/>
                <w:b w:val="false"/>
                <w:i w:val="false"/>
                <w:color w:val="000000"/>
                <w:sz w:val="20"/>
              </w:rPr>
              <w:t xml:space="preserve">, </w:t>
            </w:r>
            <w:r>
              <w:rPr>
                <w:rFonts w:ascii="Times New Roman"/>
                <w:b w:val="false"/>
                <w:i w:val="false"/>
                <w:color w:val="000000"/>
                <w:sz w:val="20"/>
              </w:rPr>
              <w:t>670</w:t>
            </w:r>
            <w:r>
              <w:rPr>
                <w:rFonts w:ascii="Times New Roman"/>
                <w:b w:val="false"/>
                <w:i w:val="false"/>
                <w:color w:val="000000"/>
                <w:sz w:val="20"/>
              </w:rPr>
              <w:t xml:space="preserve">, </w:t>
            </w:r>
            <w:r>
              <w:rPr>
                <w:rFonts w:ascii="Times New Roman"/>
                <w:b w:val="false"/>
                <w:i w:val="false"/>
                <w:color w:val="000000"/>
                <w:sz w:val="20"/>
              </w:rPr>
              <w:t>673</w:t>
            </w:r>
            <w:r>
              <w:rPr>
                <w:rFonts w:ascii="Times New Roman"/>
                <w:b w:val="false"/>
                <w:i w:val="false"/>
                <w:color w:val="000000"/>
                <w:sz w:val="20"/>
              </w:rPr>
              <w:t xml:space="preserve">, </w:t>
            </w:r>
            <w:r>
              <w:rPr>
                <w:rFonts w:ascii="Times New Roman"/>
                <w:b w:val="false"/>
                <w:i w:val="false"/>
                <w:color w:val="000000"/>
                <w:sz w:val="20"/>
              </w:rPr>
              <w:t>675</w:t>
            </w:r>
            <w:r>
              <w:rPr>
                <w:rFonts w:ascii="Times New Roman"/>
                <w:b w:val="false"/>
                <w:i w:val="false"/>
                <w:color w:val="000000"/>
                <w:sz w:val="20"/>
              </w:rPr>
              <w:t xml:space="preserve"> Кодекса Республики Казахстан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уволенное менее трех лет назад по отрицательным мотивам с государственной, воинской службы, из правоохранительных органов, судов и органов юстиции</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системы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ранее занимавшее должность охранника частной охранной организации, в период занятия которой с ним был расторгнут трудовой договор по основаниям, предусмотренным подпунктами 9), 10), 11), 12), 15), 16) и 17) </w:t>
            </w:r>
            <w:r>
              <w:rPr>
                <w:rFonts w:ascii="Times New Roman"/>
                <w:b w:val="false"/>
                <w:i w:val="false"/>
                <w:color w:val="000000"/>
                <w:sz w:val="20"/>
              </w:rPr>
              <w:t>пункта 1</w:t>
            </w:r>
            <w:r>
              <w:rPr>
                <w:rFonts w:ascii="Times New Roman"/>
                <w:b w:val="false"/>
                <w:i w:val="false"/>
                <w:color w:val="000000"/>
                <w:sz w:val="20"/>
              </w:rPr>
              <w:t xml:space="preserve"> статьи 52 Трудового кодекса Республики Казахстан, менее трех лет назад</w:t>
            </w: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МТСЗН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Должность охранника не может занимать лицо: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имеющее гражданства Республики Казахстан</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ГБД ФЛ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моложе 19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прошедшее специальную подготовку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специализированного учебного центра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проверкой подразделением лицензиара по месту осуществления деятельности заявителя, лицензиата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психическими, поведенческими расстройствами (заболеваниями), в том числе связанными с употреблением психоактивных веществ, состоящее на учете в организациях, оказывающих медицинскую помощь в области психического здоровья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справки из организаций, оказывающих медицинскую помощь в области психического здоровья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МЗ РК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имеющее судимость за совершение преступления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наличии либо отсутствии судимости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АИС СУ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совершении лицом уголовного и/или административного правонарушения</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 а также в течение одного года до принятия на должность охранника или в период нахождения в данной должности освобожденного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привлеченное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 предусмотренных статьями 149, 434, 436, 438, 439, 440, 443, 450, 453, 462, 463, 464, 469, 470, 476, 477, 478, 479, 481, 482, 483, 484, 485, 486, 487, 488, 489, 490, 494, 495, 496, 504, 506, 653, 654, 658, 659, 665, 667, 669, 670, 673, 675 Кодекса Республики Казахстан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уволенное менее трех лет назад по отрицательным мотивам с государственной, воинской службы, из правоохранительных органов, судов и органов юстиции</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ранее занимавшее аналогичную должность, в период занятия которой с ним был расторгнут трудовой договор по основаниям, предусмотренным подпунктами 9), 10), 11), 12), 15), 16) и 17) ) </w:t>
            </w:r>
            <w:r>
              <w:rPr>
                <w:rFonts w:ascii="Times New Roman"/>
                <w:b w:val="false"/>
                <w:i w:val="false"/>
                <w:color w:val="000000"/>
                <w:sz w:val="20"/>
              </w:rPr>
              <w:t>пункта 1</w:t>
            </w:r>
            <w:r>
              <w:rPr>
                <w:rFonts w:ascii="Times New Roman"/>
                <w:b w:val="false"/>
                <w:i w:val="false"/>
                <w:color w:val="000000"/>
                <w:sz w:val="20"/>
              </w:rPr>
              <w:t xml:space="preserve"> статьи 52 Трудового кодекса Республики Казахстан, менее трех лет назад</w:t>
            </w: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МТСЗН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Для охраны объектов, уязвимых в террористическом отношении, частные охранные организации, в том числе филиалы и представительства, должны соответствовать требованиям, предусматривающим наличие: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опыта работы в сфере оказания охранных услуг не менее одного года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охранной деятельности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информационной системы "Государственная база данных "Е-лицензирование" (далее – ИС ГБД ЕЛ)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офисного помещения для размещения пункта централизованной охраны на праве собственности либо аренды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право собственности либо договор аренды, подтверждающие наличие площади для функционирования пункта централизованной охраны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информационной системы "Государственная база данных "Регистр недвижимости" либо договор аренды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пульта централизованного наблюдения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расстановка.</w:t>
            </w:r>
            <w:r>
              <w:br/>
            </w:r>
            <w:r>
              <w:rPr>
                <w:rFonts w:ascii="Times New Roman"/>
                <w:b w:val="false"/>
                <w:i w:val="false"/>
                <w:color w:val="000000"/>
                <w:sz w:val="20"/>
              </w:rPr>
              <w:t xml:space="preserve">
Техническая документация (инвентарные номера, накладные, фискальные чеки или другие документы), подтверждающая наличие: </w:t>
            </w:r>
            <w:r>
              <w:br/>
            </w:r>
            <w:r>
              <w:rPr>
                <w:rFonts w:ascii="Times New Roman"/>
                <w:b w:val="false"/>
                <w:i w:val="false"/>
                <w:color w:val="000000"/>
                <w:sz w:val="20"/>
              </w:rPr>
              <w:t xml:space="preserve">
1) компьютерной техники и соответствующего программного обеспечения, осуществляющих прием сигналов с приемно-контрольных приборов, установленных на объектах охраны; </w:t>
            </w:r>
            <w:r>
              <w:br/>
            </w:r>
            <w:r>
              <w:rPr>
                <w:rFonts w:ascii="Times New Roman"/>
                <w:b w:val="false"/>
                <w:i w:val="false"/>
                <w:color w:val="000000"/>
                <w:sz w:val="20"/>
              </w:rPr>
              <w:t>
2) собственного защищенного сервера для хранения данных с объектов охраны.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заявителем (лицензиатом) при направлении соответствующих документов по месту осуществления деятельности подразделению лицензиара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радиочастотного спектра, выданное соответствующим радиочастотным органом, либо договор на абонентское обслуживание (аренды) радиостанций с частотой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заявителем (лицензиатом) при направлении соответствующих документов по месту осуществления деятельности подразделению лицензиара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мобильных групп (групп оперативного реагирования), обеспечивающих выезд на сигналы тревоги с объектов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транспортных средств на праве собственности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заявителем (лицензиатом) при направлении соответствующих документов по месту осуществления деятельности подразделению лицензиара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расстановка и приказы о создании мобильных групп (групп оперативного реагирования) и назначении работников исходя из норматива численности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служебного, в том числе огнестрельного оружия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хранение, хранение и ношение оружия и патронов к нему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ГБД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требования, предъявляемые для охранных организаций национальных компаний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предусмотренные главами 1, 2, 3 квалификационных требований, предъявляемых к осуществлению охранной деятельности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предусмотренных главами 1, 2, 3 квалификационных требований, предъявляемых к осуществлению охранной деятельности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на учреждение охранной организации национальной компанией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