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1639" w14:textId="e1f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2014 года № 255. Зарегистрировано Департаментом юстиции Актюбинской области 18 декабря 2014 года № 4095. Прекратил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 действие в связи с истечением срока применения – (письмо Актюбинского областного маслихата от 08.06.2015 № 06-01-02/286).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"122 719 802,9" заменить цифрами "120 991 343,2",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"35 738 221,8" заменить цифрами "35 573 537,1";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"85 808 954,1 " заменить цифрами "84 245 179,1";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"128 423 469,9" заменить цифрами "126 745 010,2";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"903 490" заменить цифрами "853 490".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120 991 343,2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35 573 537,1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9 379 123,1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9 379 123,1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84 245 179,1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78 128 924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78 128 924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