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c347c" w14:textId="5bc34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Бурабайского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Бурабайского районного маслихата Акмолинской области от 15 апреля 2014 года № 5С-29/3. Зарегистрировано Департаментом юстиции Акмолинской области 19 мая 2014 года № 4194. Утратило силу решением Бурабайского районного маслихата Акмолинской области от 8 июня 2016 года № 6С-3/1</w:t>
      </w:r>
    </w:p>
    <w:p>
      <w:pPr>
        <w:spacing w:after="0"/>
        <w:ind w:left="0"/>
        <w:jc w:val="left"/>
      </w:pPr>
      <w:r>
        <w:rPr>
          <w:rFonts w:ascii="Times New Roman"/>
          <w:b w:val="false"/>
          <w:i w:val="false"/>
          <w:color w:val="ff0000"/>
          <w:sz w:val="28"/>
        </w:rPr>
        <w:t xml:space="preserve">      Сноска. Утратило силу решением Бурабайского районного маслихата Акмолинской области от 08.06.2016 </w:t>
      </w:r>
      <w:r>
        <w:rPr>
          <w:rFonts w:ascii="Times New Roman"/>
          <w:b w:val="false"/>
          <w:i w:val="false"/>
          <w:color w:val="ff0000"/>
          <w:sz w:val="28"/>
        </w:rPr>
        <w:t>№ 6С-3/1</w:t>
      </w:r>
      <w:r>
        <w:rPr>
          <w:rFonts w:ascii="Times New Roman"/>
          <w:b w:val="false"/>
          <w:i w:val="false"/>
          <w:color w:val="ff0000"/>
          <w:sz w:val="28"/>
        </w:rPr>
        <w:t xml:space="preserve"> (вступает в силу и вводится в действие со дня подписания).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Бурабайский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Бурабайского районного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Председатель</w:t>
            </w:r>
            <w:r>
              <w:br/>
            </w:r>
            <w:r>
              <w:rPr>
                <w:rFonts w:ascii="Times New Roman"/>
                <w:b w:val="false"/>
                <w:i/>
                <w:color w:val="000000"/>
                <w:sz w:val="20"/>
              </w:rPr>
              <w:t>XXIХ (внеочередной) сессии</w:t>
            </w:r>
            <w:r>
              <w:br/>
            </w:r>
            <w:r>
              <w:rPr>
                <w:rFonts w:ascii="Times New Roman"/>
                <w:b w:val="false"/>
                <w:i/>
                <w:color w:val="000000"/>
                <w:sz w:val="20"/>
              </w:rPr>
              <w:t xml:space="preserve">районного </w:t>
            </w:r>
            <w:r>
              <w:rPr>
                <w:rFonts w:ascii="Times New Roman"/>
                <w:b w:val="false"/>
                <w:i/>
                <w:color w:val="000000"/>
                <w:sz w:val="20"/>
              </w:rPr>
              <w:t>маслихата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Ж.Бектуров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w:t>
            </w:r>
            <w:r>
              <w:br/>
            </w:r>
            <w:r>
              <w:rPr>
                <w:rFonts w:ascii="Times New Roman"/>
                <w:b w:val="false"/>
                <w:i/>
                <w:color w:val="000000"/>
                <w:sz w:val="20"/>
              </w:rPr>
              <w:t xml:space="preserve">районного </w:t>
            </w:r>
            <w:r>
              <w:rPr>
                <w:rFonts w:ascii="Times New Roman"/>
                <w:b w:val="false"/>
                <w:i/>
                <w:color w:val="000000"/>
                <w:sz w:val="20"/>
              </w:rPr>
              <w:t>маслихата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У.Бейсенов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Бурабайского районного маслихата</w:t>
            </w:r>
            <w:r>
              <w:br/>
            </w:r>
            <w:r>
              <w:rPr>
                <w:rFonts w:ascii="Times New Roman"/>
                <w:b w:val="false"/>
                <w:i w:val="false"/>
                <w:color w:val="000000"/>
                <w:sz w:val="20"/>
              </w:rPr>
              <w:t>от 15 апреля 2014 года № 5С-29/3</w:t>
            </w:r>
          </w:p>
        </w:tc>
      </w:tr>
    </w:tbl>
    <w:bookmarkStart w:name="z5" w:id="0"/>
    <w:p>
      <w:pPr>
        <w:spacing w:after="0"/>
        <w:ind w:left="0"/>
        <w:jc w:val="left"/>
      </w:pPr>
      <w:r>
        <w:rPr>
          <w:rFonts w:ascii="Times New Roman"/>
          <w:b/>
          <w:i w:val="false"/>
          <w:color w:val="000000"/>
        </w:rPr>
        <w:t xml:space="preserve"> Регламент Бурабайского районного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Бурабайского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Бурабайский районный маслихат (местный представительный орган) – выборный орган, избираемый населением Бурабайского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Бурабайской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 xml:space="preserve">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w:t>
      </w:r>
      <w:r>
        <w:rPr>
          <w:rFonts w:ascii="Times New Roman"/>
          <w:b w:val="false"/>
          <w:i w:val="false"/>
          <w:color w:val="000000"/>
          <w:sz w:val="28"/>
        </w:rPr>
        <w:t>регламентом</w:t>
      </w:r>
      <w:r>
        <w:rPr>
          <w:rFonts w:ascii="Times New Roman"/>
          <w:b w:val="false"/>
          <w:i w:val="false"/>
          <w:color w:val="000000"/>
          <w:sz w:val="28"/>
        </w:rPr>
        <w:t>,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Бурабайского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Бурабайского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Бурабайского района.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районного маслихата приглашаются аким района,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районного маслихата, проявление одобрения или неодобрения решений сессии районного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Время для доклада, содоклада и заключительного слова согласуется председательствующим с докладчиками:</w:t>
      </w:r>
      <w:r>
        <w:br/>
      </w:r>
      <w:r>
        <w:rPr>
          <w:rFonts w:ascii="Times New Roman"/>
          <w:b w:val="false"/>
          <w:i w:val="false"/>
          <w:color w:val="000000"/>
          <w:sz w:val="28"/>
        </w:rPr>
        <w:t>
      1) для докладов до 40 минут;</w:t>
      </w:r>
      <w:r>
        <w:br/>
      </w:r>
      <w:r>
        <w:rPr>
          <w:rFonts w:ascii="Times New Roman"/>
          <w:b w:val="false"/>
          <w:i w:val="false"/>
          <w:color w:val="000000"/>
          <w:sz w:val="28"/>
        </w:rPr>
        <w:t>
      2) для содокладов до 15 минут;</w:t>
      </w:r>
      <w:r>
        <w:br/>
      </w:r>
      <w:r>
        <w:rPr>
          <w:rFonts w:ascii="Times New Roman"/>
          <w:b w:val="false"/>
          <w:i w:val="false"/>
          <w:color w:val="000000"/>
          <w:sz w:val="28"/>
        </w:rPr>
        <w:t>
      3) для заключительного слова до 7 минут.</w:t>
      </w:r>
      <w:r>
        <w:br/>
      </w:r>
      <w:r>
        <w:rPr>
          <w:rFonts w:ascii="Times New Roman"/>
          <w:b w:val="false"/>
          <w:i w:val="false"/>
          <w:color w:val="000000"/>
          <w:sz w:val="28"/>
        </w:rPr>
        <w:t>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районного бюджета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соответствующей территории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районного бюджета.</w:t>
      </w:r>
      <w:r>
        <w:br/>
      </w:r>
      <w:r>
        <w:rPr>
          <w:rFonts w:ascii="Times New Roman"/>
          <w:b w:val="false"/>
          <w:i w:val="false"/>
          <w:color w:val="000000"/>
          <w:sz w:val="28"/>
        </w:rPr>
        <w:t>
      Государственное учреждение "Отдел экономики и финансов Бурабайского района"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Маслихат осуществляет контроль за исполнением местного бюджета, программ развития территорий путем заслушивания отчетов акима Бурабайского района.</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 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Отчеты ревизионных комиссий областей, города республиканского значения, столицы об исполнении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Бурабайского района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маслихата по вопросам, отнесенным к компетенции маслихата, обращается с официальным письменным запросом к акиму, председателю и члену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местного бюджета.</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52" w:id="5"/>
    <w:p>
      <w:pPr>
        <w:spacing w:after="0"/>
        <w:ind w:left="0"/>
        <w:jc w:val="left"/>
      </w:pPr>
      <w:r>
        <w:rPr>
          <w:rFonts w:ascii="Times New Roman"/>
          <w:b/>
          <w:i w:val="false"/>
          <w:color w:val="000000"/>
        </w:rPr>
        <w:t xml:space="preserve"> 5. Должностные лица, постоянные комиссии иные органы маслихата, депутатские объединения маслихата</w:t>
      </w:r>
      <w:r>
        <w:br/>
      </w:r>
      <w:r>
        <w:rPr>
          <w:rFonts w:ascii="Times New Roman"/>
          <w:b/>
          <w:i w:val="false"/>
          <w:color w:val="000000"/>
        </w:rPr>
        <w:t>5.1. Председатель сессии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 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57" w:id="6"/>
    <w:p>
      <w:pPr>
        <w:spacing w:after="0"/>
        <w:ind w:left="0"/>
        <w:jc w:val="left"/>
      </w:pPr>
      <w:r>
        <w:rPr>
          <w:rFonts w:ascii="Times New Roman"/>
          <w:b/>
          <w:i w:val="false"/>
          <w:color w:val="000000"/>
        </w:rPr>
        <w:t xml:space="preserve"> 5.2. Секретарь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61" w:id="7"/>
    <w:p>
      <w:pPr>
        <w:spacing w:after="0"/>
        <w:ind w:left="0"/>
        <w:jc w:val="left"/>
      </w:pPr>
      <w:r>
        <w:rPr>
          <w:rFonts w:ascii="Times New Roman"/>
          <w:b/>
          <w:i w:val="false"/>
          <w:color w:val="000000"/>
        </w:rPr>
        <w:t xml:space="preserve"> 5.3. Постоянные и временные комиссии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67"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71" w:id="9"/>
    <w:p>
      <w:pPr>
        <w:spacing w:after="0"/>
        <w:ind w:left="0"/>
        <w:jc w:val="left"/>
      </w:pPr>
      <w:r>
        <w:rPr>
          <w:rFonts w:ascii="Times New Roman"/>
          <w:b/>
          <w:i w:val="false"/>
          <w:color w:val="000000"/>
        </w:rPr>
        <w:t xml:space="preserve"> 5.5. Депутатские объединения в маслихатах</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76"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83" w:id="11"/>
    <w:p>
      <w:pPr>
        <w:spacing w:after="0"/>
        <w:ind w:left="0"/>
        <w:jc w:val="left"/>
      </w:pPr>
      <w:r>
        <w:rPr>
          <w:rFonts w:ascii="Times New Roman"/>
          <w:b/>
          <w:i w:val="false"/>
          <w:color w:val="000000"/>
        </w:rPr>
        <w:t xml:space="preserve"> 7. Организация работы аппарата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