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d6ec" w14:textId="748d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Целиноградского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14 марта 2014 года № 196/27-5. Зарегистрировано Департаментом юстиции Акмолинской области 15 апреля 2014 года № 4106. Утратило силу решением Целиноградского районного маслихата Акмолинской области от 23 ноября 2016 года № 71/8-6</w:t>
      </w:r>
    </w:p>
    <w:p>
      <w:pPr>
        <w:spacing w:after="0"/>
        <w:ind w:left="0"/>
        <w:jc w:val="left"/>
      </w:pPr>
      <w:r>
        <w:rPr>
          <w:rFonts w:ascii="Times New Roman"/>
          <w:b w:val="false"/>
          <w:i w:val="false"/>
          <w:color w:val="ff0000"/>
          <w:sz w:val="28"/>
        </w:rPr>
        <w:t xml:space="preserve">      Сноска. Утратило силу решением Целиноградского районного маслихата Акмолинской области от 23.11.2016 </w:t>
      </w:r>
      <w:r>
        <w:rPr>
          <w:rFonts w:ascii="Times New Roman"/>
          <w:b w:val="false"/>
          <w:i w:val="false"/>
          <w:color w:val="ff0000"/>
          <w:sz w:val="28"/>
        </w:rPr>
        <w:t>№ 71/8-6</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Целиноградский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Целиноградского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Целиноградского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М.Байшолаков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Целиноградского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Р.Тулькубаев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Целиноградского районного маслихата</w:t>
            </w:r>
            <w:r>
              <w:br/>
            </w:r>
            <w:r>
              <w:rPr>
                <w:rFonts w:ascii="Times New Roman"/>
                <w:b w:val="false"/>
                <w:i w:val="false"/>
                <w:color w:val="000000"/>
                <w:sz w:val="20"/>
              </w:rPr>
              <w:t>от 14 марта 2014 года № 196/27-5</w:t>
            </w:r>
          </w:p>
        </w:tc>
      </w:tr>
    </w:tbl>
    <w:bookmarkStart w:name="z5" w:id="0"/>
    <w:p>
      <w:pPr>
        <w:spacing w:after="0"/>
        <w:ind w:left="0"/>
        <w:jc w:val="left"/>
      </w:pPr>
      <w:r>
        <w:rPr>
          <w:rFonts w:ascii="Times New Roman"/>
          <w:b/>
          <w:i w:val="false"/>
          <w:color w:val="000000"/>
        </w:rPr>
        <w:t xml:space="preserve"> Регламент Целиноградского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Целиноградского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Целиноградского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сохранением ему заработной платы по месту основной работы.</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Целиноградского районного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и его заместители,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районных газет "Ақмол ақпараты", "Вести Акмола" и иных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районного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в Департаменте юстиции Акмолинской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Целиноградского района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районного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Целиноградского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Целиноградского района.</w:t>
      </w:r>
      <w:r>
        <w:br/>
      </w:r>
      <w:r>
        <w:rPr>
          <w:rFonts w:ascii="Times New Roman"/>
          <w:b w:val="false"/>
          <w:i w:val="false"/>
          <w:color w:val="000000"/>
          <w:sz w:val="28"/>
        </w:rPr>
        <w:t>
      </w:t>
      </w:r>
      <w:r>
        <w:rPr>
          <w:rFonts w:ascii="Times New Roman"/>
          <w:b w:val="false"/>
          <w:i w:val="false"/>
          <w:color w:val="000000"/>
          <w:sz w:val="28"/>
        </w:rPr>
        <w:t>Государственное учреждение "Отдел экономики и финансов Целиноградского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районном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Районный бюджет утверждается на сессии районного маслихата не позднее двухнедельного срока после подписания решения Акмолинского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районного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 xml:space="preserve">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секретаря маслихата, председателей постоянных комиссий и иных органов маслихата.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Акмолинской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 в районных газетах "Ақмол ақпараты", "Вести Акмола".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районной избирательной комиссии, прокурору и должностным лицам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83" w:id="6"/>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6"/>
    <w:bookmarkStart w:name="z84"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96"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 xml:space="preserve">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0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районные газеты "Ақмол ақпараты", "Вести Акмола"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21"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районного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28"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37"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49"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