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b32" w14:textId="9d2f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Жаркаинского районного маслихата от 22 апреля 2013 года № 5С-19/3 "Об утверждении Правил предоставления жилищной помощи малообеспеченным семьям (гражданам) проживающим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27 октября 2014 года № 5С-37/5. Зарегистрировано Департаментом юстиции Акмолинской области 18 ноября 2014 года № 4458. Утратило силу решением Жаркаинского районного маслихата Акмолинской области от 30 марта 2015 года № 5С-40/13</w:t>
      </w:r>
    </w:p>
    <w:p>
      <w:pPr>
        <w:spacing w:after="0"/>
        <w:ind w:left="0"/>
        <w:jc w:val="both"/>
      </w:pPr>
      <w:r>
        <w:rPr>
          <w:rFonts w:ascii="Times New Roman"/>
          <w:b w:val="false"/>
          <w:i w:val="false"/>
          <w:color w:val="ff0000"/>
          <w:sz w:val="28"/>
        </w:rPr>
        <w:t>      Сноска. Утратило силу решением Жаркаинского районного маслихата Акмолинской области от 30.03.2015 № 5С-40/13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Жаркаинский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от 22 апреля 2013 года № 5С-19/3 «Об утверждении Правил предоставления жилищной помощи малообеспеченным семьям (гражданам) проживающим в Жаркаинском районе» (зарегистрировано Реестре государственной регистрации нормативных правовых актов № 3738, опубликовано 24 мая 2013 года в районной газете «Целинное знамя»)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r>
        <w:br/>
      </w:r>
      <w:r>
        <w:rPr>
          <w:rFonts w:ascii="Times New Roman"/>
          <w:b w:val="false"/>
          <w:i w:val="false"/>
          <w:color w:val="000000"/>
          <w:sz w:val="28"/>
        </w:rPr>
        <w:t>
</w:t>
      </w:r>
      <w:r>
        <w:rPr>
          <w:rFonts w:ascii="Times New Roman"/>
          <w:b w:val="false"/>
          <w:i w:val="false"/>
          <w:color w:val="000000"/>
          <w:sz w:val="28"/>
        </w:rPr>
        <w:t>
      «В соответствии со статьей 6 Закона Республики Казахстан от 23 января 2001 года «О местном государственном управлении и самоуправлении в Республике Казахстан», статьей 97 Закона Республики Казахстан от 16 апреля 1997 года «О жилищных отношениях»,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 Жаркаинский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Жаркаинском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«10.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пунктом 9 раздела 2 стандарта государственной услуги «Назначение жилищной помощи», утвержденного постановлением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Д.Меджидов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У.Ахметова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Жаркаинского района                   А.Уисимбаев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