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af3c5" w14:textId="1caf3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Аккольского районного маслихата от 26 сентября 2011 года № С 43-3 "Об утверждении Правил предоставления жилищной помощи малообеспеченным семьям (гражданам) проживающим в Аккольском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Аккольского районного маслихата Акмолинской области от 27 марта 2014 года № С 32-3. Зарегистрировано Департаментом юстиции Акмолинской области 18 апреля 2014 года № 4113. Утратило силу решением Аккольского районного маслихата Акмолинской области от 1 июля 2015 года № С 48-9</w:t>
      </w:r>
    </w:p>
    <w:p>
      <w:pPr>
        <w:spacing w:after="0"/>
        <w:ind w:left="0"/>
        <w:jc w:val="both"/>
      </w:pPr>
      <w:r>
        <w:rPr>
          <w:rFonts w:ascii="Times New Roman"/>
          <w:b w:val="false"/>
          <w:i w:val="false"/>
          <w:color w:val="ff0000"/>
          <w:sz w:val="28"/>
        </w:rPr>
        <w:t xml:space="preserve">      Сноска. Утратило силу решением Аккольского районного маслихата Акмолинской области от 01.07.2015 </w:t>
      </w:r>
      <w:r>
        <w:rPr>
          <w:rFonts w:ascii="Times New Roman"/>
          <w:b w:val="false"/>
          <w:i w:val="false"/>
          <w:color w:val="ff0000"/>
          <w:sz w:val="28"/>
        </w:rPr>
        <w:t>№ С 48-9</w:t>
      </w:r>
      <w:r>
        <w:rPr>
          <w:rFonts w:ascii="Times New Roman"/>
          <w:b w:val="false"/>
          <w:i w:val="false"/>
          <w:color w:val="ff0000"/>
          <w:sz w:val="28"/>
        </w:rPr>
        <w:t xml:space="preserve"> (вступает в силу и вводится в действие со дня подписания).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от 16 апреля 1997 года «О жилищных отношениях», Аккольский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решение</w:t>
      </w:r>
      <w:r>
        <w:rPr>
          <w:rFonts w:ascii="Times New Roman"/>
          <w:b w:val="false"/>
          <w:i w:val="false"/>
          <w:color w:val="000000"/>
          <w:sz w:val="28"/>
        </w:rPr>
        <w:t xml:space="preserve"> Аккольского районного маслихата «Об утверждении Правил предоставления жилищной помощи малообеспеченным семьям (гражданам) проживающим в Аккольском районе» от 26 сентября 2011 года № С 43–3 (зарегистрировано в Реестре государственной регистрации нормативных правовых актов № 1-3-163 и опубликовано 4 ноября 2011 года в районных газетах «Ақкөл өмірі» и «Знамя Родины KZ») следующие изменения: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предоставления жилищной помощи малообеспеченным семьям (гражданам) проживающим в Аккольском районе: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w:t>
      </w:r>
      <w:r>
        <w:rPr>
          <w:rFonts w:ascii="Times New Roman"/>
          <w:b w:val="false"/>
          <w:i w:val="false"/>
          <w:color w:val="000000"/>
          <w:sz w:val="28"/>
        </w:rPr>
        <w:t>
      «1. Жилищная помощь предоставляется за счет средств местного бюджета малообеспеченным семьям (гражданам), постоянно проживающим на территории Аккольского района на оплату:</w:t>
      </w:r>
      <w:r>
        <w:br/>
      </w:r>
      <w:r>
        <w:rPr>
          <w:rFonts w:ascii="Times New Roman"/>
          <w:b w:val="false"/>
          <w:i w:val="false"/>
          <w:color w:val="000000"/>
          <w:sz w:val="28"/>
        </w:rPr>
        <w:t>
</w:t>
      </w:r>
      <w:r>
        <w:rPr>
          <w:rFonts w:ascii="Times New Roman"/>
          <w:b w:val="false"/>
          <w:i w:val="false"/>
          <w:color w:val="000000"/>
          <w:sz w:val="28"/>
        </w:rPr>
        <w:t>
      расходов на содержание жилого дома (жилого здания) семьям (гражданам), проживающим в приватизированных жилых помещениях (квартирах) или являющимися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w:t>
      </w:r>
      <w:r>
        <w:rPr>
          <w:rFonts w:ascii="Times New Roman"/>
          <w:b w:val="false"/>
          <w:i w:val="false"/>
          <w:color w:val="000000"/>
          <w:sz w:val="28"/>
        </w:rPr>
        <w:t>
      потребления коммунальных услуг и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w:t>
      </w:r>
      <w:r>
        <w:br/>
      </w:r>
      <w:r>
        <w:rPr>
          <w:rFonts w:ascii="Times New Roman"/>
          <w:b w:val="false"/>
          <w:i w:val="false"/>
          <w:color w:val="000000"/>
          <w:sz w:val="28"/>
        </w:rPr>
        <w:t>
</w:t>
      </w:r>
      <w:r>
        <w:rPr>
          <w:rFonts w:ascii="Times New Roman"/>
          <w:b w:val="false"/>
          <w:i w:val="false"/>
          <w:color w:val="000000"/>
          <w:sz w:val="28"/>
        </w:rPr>
        <w:t>
      арендной платы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w:t>
      </w: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w:t>
      </w:r>
      <w:r>
        <w:rPr>
          <w:rFonts w:ascii="Times New Roman"/>
          <w:b w:val="false"/>
          <w:i w:val="false"/>
          <w:color w:val="000000"/>
          <w:sz w:val="28"/>
        </w:rPr>
        <w:t>
      «2. Жилищная помощь определяется как разница между суммой оплаты расходов на содержание жилого дома (жилого здания),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в пределах норм и предельно допустимого уровня расходов семьи на эти цели.</w:t>
      </w:r>
      <w:r>
        <w:br/>
      </w:r>
      <w:r>
        <w:rPr>
          <w:rFonts w:ascii="Times New Roman"/>
          <w:b w:val="false"/>
          <w:i w:val="false"/>
          <w:color w:val="000000"/>
          <w:sz w:val="28"/>
        </w:rPr>
        <w:t>
</w:t>
      </w:r>
      <w:r>
        <w:rPr>
          <w:rFonts w:ascii="Times New Roman"/>
          <w:b w:val="false"/>
          <w:i w:val="false"/>
          <w:color w:val="000000"/>
          <w:sz w:val="28"/>
        </w:rPr>
        <w:t>
      Доля предельно допустимого уровня расходов семьи в месяц на расходы на содержание жилого дома (жилого здания),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устанавливаются к совокупному доходу семьи в размере 10 процентов.</w:t>
      </w:r>
      <w:r>
        <w:br/>
      </w:r>
      <w:r>
        <w:rPr>
          <w:rFonts w:ascii="Times New Roman"/>
          <w:b w:val="false"/>
          <w:i w:val="false"/>
          <w:color w:val="000000"/>
          <w:sz w:val="28"/>
        </w:rPr>
        <w:t>
</w:t>
      </w:r>
      <w:r>
        <w:rPr>
          <w:rFonts w:ascii="Times New Roman"/>
          <w:b w:val="false"/>
          <w:i w:val="false"/>
          <w:color w:val="000000"/>
          <w:sz w:val="28"/>
        </w:rPr>
        <w:t>
      Оплата содержания жилища и потребления коммунальных услуг сверх установленной нормы производится на общих основаниях.»;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w:t>
      </w:r>
      <w:r>
        <w:rPr>
          <w:rFonts w:ascii="Times New Roman"/>
          <w:b w:val="false"/>
          <w:i w:val="false"/>
          <w:color w:val="000000"/>
          <w:sz w:val="28"/>
        </w:rPr>
        <w:t>
      «6. Заявление об оказании жилищной помощи подается собственником, нанимателем (поднанимателем) жилья с приложением следующих документов:</w:t>
      </w:r>
      <w:r>
        <w:br/>
      </w:r>
      <w:r>
        <w:rPr>
          <w:rFonts w:ascii="Times New Roman"/>
          <w:b w:val="false"/>
          <w:i w:val="false"/>
          <w:color w:val="000000"/>
          <w:sz w:val="28"/>
        </w:rPr>
        <w:t>
</w:t>
      </w:r>
      <w:r>
        <w:rPr>
          <w:rFonts w:ascii="Times New Roman"/>
          <w:b w:val="false"/>
          <w:i w:val="false"/>
          <w:color w:val="000000"/>
          <w:sz w:val="28"/>
        </w:rPr>
        <w:t>
      1) копии документа, удостоверяющего личность заявителя;</w:t>
      </w:r>
      <w:r>
        <w:br/>
      </w:r>
      <w:r>
        <w:rPr>
          <w:rFonts w:ascii="Times New Roman"/>
          <w:b w:val="false"/>
          <w:i w:val="false"/>
          <w:color w:val="000000"/>
          <w:sz w:val="28"/>
        </w:rPr>
        <w:t>
</w:t>
      </w:r>
      <w:r>
        <w:rPr>
          <w:rFonts w:ascii="Times New Roman"/>
          <w:b w:val="false"/>
          <w:i w:val="false"/>
          <w:color w:val="000000"/>
          <w:sz w:val="28"/>
        </w:rPr>
        <w:t>
      2) копии правоустанавливающего документа на жилище;</w:t>
      </w:r>
      <w:r>
        <w:br/>
      </w:r>
      <w:r>
        <w:rPr>
          <w:rFonts w:ascii="Times New Roman"/>
          <w:b w:val="false"/>
          <w:i w:val="false"/>
          <w:color w:val="000000"/>
          <w:sz w:val="28"/>
        </w:rPr>
        <w:t>
</w:t>
      </w:r>
      <w:r>
        <w:rPr>
          <w:rFonts w:ascii="Times New Roman"/>
          <w:b w:val="false"/>
          <w:i w:val="false"/>
          <w:color w:val="000000"/>
          <w:sz w:val="28"/>
        </w:rPr>
        <w:t>
      3) копию книги регистрации граждан либо адресную справку, либо справку сельских или аульных акимов, подтверждающих регистрацию по постоянному месту жительства заявителя;</w:t>
      </w:r>
      <w:r>
        <w:br/>
      </w:r>
      <w:r>
        <w:rPr>
          <w:rFonts w:ascii="Times New Roman"/>
          <w:b w:val="false"/>
          <w:i w:val="false"/>
          <w:color w:val="000000"/>
          <w:sz w:val="28"/>
        </w:rPr>
        <w:t>
</w:t>
      </w:r>
      <w:r>
        <w:rPr>
          <w:rFonts w:ascii="Times New Roman"/>
          <w:b w:val="false"/>
          <w:i w:val="false"/>
          <w:color w:val="000000"/>
          <w:sz w:val="28"/>
        </w:rPr>
        <w:t>
      4) документов, подтверждающих доходы членов семьи за предыдущий квартал;</w:t>
      </w:r>
      <w:r>
        <w:br/>
      </w:r>
      <w:r>
        <w:rPr>
          <w:rFonts w:ascii="Times New Roman"/>
          <w:b w:val="false"/>
          <w:i w:val="false"/>
          <w:color w:val="000000"/>
          <w:sz w:val="28"/>
        </w:rPr>
        <w:t>
</w:t>
      </w:r>
      <w:r>
        <w:rPr>
          <w:rFonts w:ascii="Times New Roman"/>
          <w:b w:val="false"/>
          <w:i w:val="false"/>
          <w:color w:val="000000"/>
          <w:sz w:val="28"/>
        </w:rPr>
        <w:t>
      5) квитанции-счета за услуги телекоммуникаций или копии договора на оказание услуг связи (абоненту городской сети телекоммуникаций);</w:t>
      </w:r>
      <w:r>
        <w:br/>
      </w:r>
      <w:r>
        <w:rPr>
          <w:rFonts w:ascii="Times New Roman"/>
          <w:b w:val="false"/>
          <w:i w:val="false"/>
          <w:color w:val="000000"/>
          <w:sz w:val="28"/>
        </w:rPr>
        <w:t>
</w:t>
      </w:r>
      <w:r>
        <w:rPr>
          <w:rFonts w:ascii="Times New Roman"/>
          <w:b w:val="false"/>
          <w:i w:val="false"/>
          <w:color w:val="000000"/>
          <w:sz w:val="28"/>
        </w:rPr>
        <w:t>
      6) счетов (квитанций) об оплате за коммунальные услуги за предыдущий квартал, при центральном отоплении - копии договора на предоставление услуг по отоплению на текущий отопительный сезон;</w:t>
      </w:r>
      <w:r>
        <w:br/>
      </w:r>
      <w:r>
        <w:rPr>
          <w:rFonts w:ascii="Times New Roman"/>
          <w:b w:val="false"/>
          <w:i w:val="false"/>
          <w:color w:val="000000"/>
          <w:sz w:val="28"/>
        </w:rPr>
        <w:t>
</w:t>
      </w:r>
      <w:r>
        <w:rPr>
          <w:rFonts w:ascii="Times New Roman"/>
          <w:b w:val="false"/>
          <w:i w:val="false"/>
          <w:color w:val="000000"/>
          <w:sz w:val="28"/>
        </w:rPr>
        <w:t>
      7) счета о размере целевого взноса на капитальный ремонт общего имущества объекта кондоминиума (семьям, имеющим право на компенсацию за капитальный ремонт общего имущества кондоминиума);</w:t>
      </w:r>
      <w:r>
        <w:br/>
      </w:r>
      <w:r>
        <w:rPr>
          <w:rFonts w:ascii="Times New Roman"/>
          <w:b w:val="false"/>
          <w:i w:val="false"/>
          <w:color w:val="000000"/>
          <w:sz w:val="28"/>
        </w:rPr>
        <w:t>
</w:t>
      </w:r>
      <w:r>
        <w:rPr>
          <w:rFonts w:ascii="Times New Roman"/>
          <w:b w:val="false"/>
          <w:i w:val="false"/>
          <w:color w:val="000000"/>
          <w:sz w:val="28"/>
        </w:rPr>
        <w:t>
      8) счета о размере ежемесячных взносов на накопление средств на расходы по содержанию жилого дома (жилого здания), предъявляемый органом управления объекта кондоминиума, на основании сметы расходов на проведение отдельных видов капитального ремонта общего имущества объекта кондоминиума, согласованной с местным исполнительным органом (жилищной инспекцией), утвержденной на общем собрании собственников и нанимателей (поднанимателей) квартир и заверенной печатью, подписью руководителя органа управления объекта кондоминиума;</w:t>
      </w:r>
      <w:r>
        <w:br/>
      </w:r>
      <w:r>
        <w:rPr>
          <w:rFonts w:ascii="Times New Roman"/>
          <w:b w:val="false"/>
          <w:i w:val="false"/>
          <w:color w:val="000000"/>
          <w:sz w:val="28"/>
        </w:rPr>
        <w:t>
</w:t>
      </w:r>
      <w:r>
        <w:rPr>
          <w:rFonts w:ascii="Times New Roman"/>
          <w:b w:val="false"/>
          <w:i w:val="false"/>
          <w:color w:val="000000"/>
          <w:sz w:val="28"/>
        </w:rPr>
        <w:t>
      9) счета о размере арендной платы за пользование жилищем, предоставляемого местным исполнительным органом.</w:t>
      </w:r>
      <w:r>
        <w:br/>
      </w:r>
      <w:r>
        <w:rPr>
          <w:rFonts w:ascii="Times New Roman"/>
          <w:b w:val="false"/>
          <w:i w:val="false"/>
          <w:color w:val="000000"/>
          <w:sz w:val="28"/>
        </w:rPr>
        <w:t>
</w:t>
      </w:r>
      <w:r>
        <w:rPr>
          <w:rFonts w:ascii="Times New Roman"/>
          <w:b w:val="false"/>
          <w:i w:val="false"/>
          <w:color w:val="000000"/>
          <w:sz w:val="28"/>
        </w:rPr>
        <w:t>
      Документы предоставляются в копиях и подлинниках. Ответственное лицо в момент приема документов сверяет предоставленные копии с подлинниками документов и возвращает подлинники сразу же после проведения сверки.».</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0"/>
    <w:p>
      <w:pPr>
        <w:spacing w:after="0"/>
        <w:ind w:left="0"/>
        <w:jc w:val="both"/>
      </w:pPr>
      <w:r>
        <w:rPr>
          <w:rFonts w:ascii="Times New Roman"/>
          <w:b w:val="false"/>
          <w:i/>
          <w:color w:val="000000"/>
          <w:sz w:val="28"/>
        </w:rPr>
        <w:t>      Председатель сессии Аккольского</w:t>
      </w:r>
      <w:r>
        <w:br/>
      </w:r>
      <w:r>
        <w:rPr>
          <w:rFonts w:ascii="Times New Roman"/>
          <w:b w:val="false"/>
          <w:i w:val="false"/>
          <w:color w:val="000000"/>
          <w:sz w:val="28"/>
        </w:rPr>
        <w:t>
</w:t>
      </w:r>
      <w:r>
        <w:rPr>
          <w:rFonts w:ascii="Times New Roman"/>
          <w:b w:val="false"/>
          <w:i/>
          <w:color w:val="000000"/>
          <w:sz w:val="28"/>
        </w:rPr>
        <w:t>      районного маслихата                        О.Бертлеуов</w:t>
      </w:r>
    </w:p>
    <w:p>
      <w:pPr>
        <w:spacing w:after="0"/>
        <w:ind w:left="0"/>
        <w:jc w:val="both"/>
      </w:pPr>
      <w:r>
        <w:rPr>
          <w:rFonts w:ascii="Times New Roman"/>
          <w:b w:val="false"/>
          <w:i/>
          <w:color w:val="000000"/>
          <w:sz w:val="28"/>
        </w:rPr>
        <w:t>      Секретарь Аккольского</w:t>
      </w:r>
      <w:r>
        <w:br/>
      </w:r>
      <w:r>
        <w:rPr>
          <w:rFonts w:ascii="Times New Roman"/>
          <w:b w:val="false"/>
          <w:i w:val="false"/>
          <w:color w:val="000000"/>
          <w:sz w:val="28"/>
        </w:rPr>
        <w:t>
</w:t>
      </w:r>
      <w:r>
        <w:rPr>
          <w:rFonts w:ascii="Times New Roman"/>
          <w:b w:val="false"/>
          <w:i/>
          <w:color w:val="000000"/>
          <w:sz w:val="28"/>
        </w:rPr>
        <w:t>      районного маслихата                        Д.Салыбекова</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Аким Аккольского района                    Т.К.Едигенов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