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85fb" w14:textId="c6a8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октября 2014 года № 102-1644. Зарегистрировано Департаментом юстиции города Астаны 6 ноября 2014 года № 850. Утратила силу постановлением акимата города Астаны от 9 февраля 2016 года № 102-234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Утратила силу постановлением акимата города Астаны от 09.02.2016 </w:t>
      </w:r>
      <w:r>
        <w:rPr>
          <w:rFonts w:ascii="Times New Roman"/>
          <w:b w:val="false"/>
          <w:i w:val="false"/>
          <w:color w:val="ff0000"/>
          <w:sz w:val="28"/>
        </w:rPr>
        <w:t>№ 102-234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575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перечень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мая 2014 года № 102-877 "Об установлении норм субсидий на удобрения, горюче-смазочные материалы и товарно-материальные ценности для проведения весенне-полевых и уборочных работ, перечень приоритетных сельскохозяйственных культур города Астаны на 2014 год" (зарегистрировано в Реестре государственной регистрации нормативных правовых актов Департаментом юстиции города Астаны от 26 июня 2014 года за № 816 и опубликовано в газете "Вечерняя Астана" № 71 (3147) от 1 июля 2014 года, газета "Астана Ақшамы" № 72 (3129) от 1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города Астаны"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2014 года № 102-1644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9241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(пшеница, ячмень)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(однолетник травы,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промышленного типа (томаты, огурцы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2014 года № 102-1644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гектар) на</w:t>
      </w:r>
      <w:r>
        <w:br/>
      </w:r>
      <w:r>
        <w:rPr>
          <w:rFonts w:ascii="Times New Roman"/>
          <w:b/>
          <w:i w:val="false"/>
          <w:color w:val="000000"/>
        </w:rPr>
        <w:t>удешевление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материалов и других товарно-материальных</w:t>
      </w:r>
      <w:r>
        <w:br/>
      </w:r>
      <w:r>
        <w:rPr>
          <w:rFonts w:ascii="Times New Roman"/>
          <w:b/>
          <w:i w:val="false"/>
          <w:color w:val="000000"/>
        </w:rPr>
        <w:t>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производства приоритетных</w:t>
      </w:r>
      <w:r>
        <w:br/>
      </w:r>
      <w:r>
        <w:rPr>
          <w:rFonts w:ascii="Times New Roman"/>
          <w:b/>
          <w:i w:val="false"/>
          <w:color w:val="000000"/>
        </w:rPr>
        <w:t>культур и 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защищенном грунте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3873"/>
        <w:gridCol w:w="6873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гектар)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(базовая норма субсидий)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промышленного типа (один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