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40f2" w14:textId="9154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организаторов торгов с ценными бумагами и иными финансовыми инструментами"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декабря 2014 года № 241. Зарегистрирован в Министерстве юстиции Республики Казахстан 10 февраля 2015 года № 10219.</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29 октября 2008 года № 170 "Об утверждении Правил осуществления деятельности организаторов торгов с ценными бумагами и иными финансовыми инструментами" (зарегистрированное в Реестре государственной регистрации нормативных правовых актов под № 5406, опубликованное 14 января 2009 года в газете "Юридическая газета" № 5 (1602) следующие изменения: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организаторов торгов с ценными бумагами и иными финансовыми инструментами,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Членами фондовой биржи являются профессиональные участники рынка ценных бумаг и иные юридические лица, имеющие в соответствии с законодательством Республики Казахстан право на осуществление сделок с иными, кроме ценных бумаг, финансовыми инструментами.</w:t>
      </w:r>
    </w:p>
    <w:p>
      <w:pPr>
        <w:spacing w:after="0"/>
        <w:ind w:left="0"/>
        <w:jc w:val="both"/>
      </w:pPr>
      <w:r>
        <w:rPr>
          <w:rFonts w:ascii="Times New Roman"/>
          <w:b w:val="false"/>
          <w:i w:val="false"/>
          <w:color w:val="000000"/>
          <w:sz w:val="28"/>
        </w:rPr>
        <w:t xml:space="preserve">
      Членами фондовой биржи являются иностранные юридические лица, соответствующие требованиям, установленным для них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сентября 2005 года № 360 "О требованиях к иностранным юридическим лицам для членства на фондовой бирже", зарегистрированным в Реестре государственной регистрации нормативных правовых актов под № 3916, и правилами фондовой биржи.</w:t>
      </w:r>
    </w:p>
    <w:p>
      <w:pPr>
        <w:spacing w:after="0"/>
        <w:ind w:left="0"/>
        <w:jc w:val="both"/>
      </w:pPr>
      <w:r>
        <w:rPr>
          <w:rFonts w:ascii="Times New Roman"/>
          <w:b w:val="false"/>
          <w:i w:val="false"/>
          <w:color w:val="000000"/>
          <w:sz w:val="28"/>
        </w:rPr>
        <w:t>
      Клиентами котировочной организации являются только профессиональные участники рынка ценных бумаг.</w:t>
      </w:r>
    </w:p>
    <w:p>
      <w:pPr>
        <w:spacing w:after="0"/>
        <w:ind w:left="0"/>
        <w:jc w:val="both"/>
      </w:pPr>
      <w:r>
        <w:rPr>
          <w:rFonts w:ascii="Times New Roman"/>
          <w:b w:val="false"/>
          <w:i w:val="false"/>
          <w:color w:val="000000"/>
          <w:sz w:val="28"/>
        </w:rPr>
        <w:t>
      Условия и порядок вступления в члены фондовой биржи (приема в клиенты котировочной организации) определяются ее правилами.";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Брокер и (или) дилер - член фондовой биржи уведомляет фондовую биржу о любых санкциях и ограниченных мерах воздействия, принятых уполномоченным органом по отношению к этому брокеру и (или) дилеру и (или) его работникам.";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"34-1. В торгах с государственными ценными бумагами Республики Казахстан (за исключением облигаций местных исполнительных органов Республики Казахстан) при их первичном размещении участвуют члены фондовой биржи соответствующей категории членства.</w:t>
      </w:r>
    </w:p>
    <w:p>
      <w:pPr>
        <w:spacing w:after="0"/>
        <w:ind w:left="0"/>
        <w:jc w:val="both"/>
      </w:pPr>
      <w:r>
        <w:rPr>
          <w:rFonts w:ascii="Times New Roman"/>
          <w:b w:val="false"/>
          <w:i w:val="false"/>
          <w:color w:val="000000"/>
          <w:sz w:val="28"/>
        </w:rPr>
        <w:t>
      Брокеры и (или) дилеры, не являющиеся банками второго уровня, участвуют в указанных торгах, в том числе за счет и в интересах своих клиентов, только путем подачи конкурентных (лимитированных) и неконкурентных заявок и только при обеспечении данных заявок в соответствии с внутренними документами фондовой биржи. Биржа выполняет контроль обеспечения и наличия цены в поданных заявках брокеров и (или) дилеров, а также контроль в целях недопущения манипулирования при проведении торгов государственными ценными бумагами Республики Казахстан в порядке, предусмотренном ее внутренними документами.</w:t>
      </w:r>
    </w:p>
    <w:p>
      <w:pPr>
        <w:spacing w:after="0"/>
        <w:ind w:left="0"/>
        <w:jc w:val="both"/>
      </w:pPr>
      <w:r>
        <w:rPr>
          <w:rFonts w:ascii="Times New Roman"/>
          <w:b w:val="false"/>
          <w:i w:val="false"/>
          <w:color w:val="000000"/>
          <w:sz w:val="28"/>
        </w:rPr>
        <w:t>
      Требования настоящего пункта не распространяются на случаи участия Национального Банка Республики Казахстан только за счет и в интересах клиентов, с которыми заключены договоры об оказании брокерских услуг либо доверительного управления, в торгах с государственными ценными бумагами Республики Казахстан при их первичном размещении.";</w:t>
      </w:r>
    </w:p>
    <w:bookmarkStart w:name="z7" w:id="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3"/>
    <w:p>
      <w:pPr>
        <w:spacing w:after="0"/>
        <w:ind w:left="0"/>
        <w:jc w:val="both"/>
      </w:pPr>
      <w:r>
        <w:rPr>
          <w:rFonts w:ascii="Times New Roman"/>
          <w:b w:val="false"/>
          <w:i w:val="false"/>
          <w:color w:val="000000"/>
          <w:sz w:val="28"/>
        </w:rPr>
        <w:t>
      "4) негосударственным долговым ценным бумагам, включенным в официальный список фондовой биржи, выпущенным организациями-резидентами Республики Казахстан в соответствии с законодательством Республики Казахстан и других государств, соответствующим следующим требованиям:</w:t>
      </w:r>
    </w:p>
    <w:p>
      <w:pPr>
        <w:spacing w:after="0"/>
        <w:ind w:left="0"/>
        <w:jc w:val="both"/>
      </w:pPr>
      <w:r>
        <w:rPr>
          <w:rFonts w:ascii="Times New Roman"/>
          <w:b w:val="false"/>
          <w:i w:val="false"/>
          <w:color w:val="000000"/>
          <w:sz w:val="28"/>
        </w:rPr>
        <w:t>
      государственная регистрация эмитента долговых ценных бумаг осуществлена не менее чем за два года до дня подачи заявления о включении его ценных бумаг в официальный список фондовой биржи;</w:t>
      </w:r>
    </w:p>
    <w:p>
      <w:pPr>
        <w:spacing w:after="0"/>
        <w:ind w:left="0"/>
        <w:jc w:val="both"/>
      </w:pPr>
      <w:r>
        <w:rPr>
          <w:rFonts w:ascii="Times New Roman"/>
          <w:b w:val="false"/>
          <w:i w:val="false"/>
          <w:color w:val="000000"/>
          <w:sz w:val="28"/>
        </w:rPr>
        <w:t>
      эмитент долговых ценных бумаг составляет финансовую отчетность в соответствии с международными стандартами финансовой отчетности (International Financial Reporting Standards - IFRS) (далее - МСФО) или стандартами финансовой отчетности, действующими в Соединенных Штатах Америки (General Accpted Accounting Principles - GAAP) (далее - СФО США);</w:t>
      </w:r>
    </w:p>
    <w:p>
      <w:pPr>
        <w:spacing w:after="0"/>
        <w:ind w:left="0"/>
        <w:jc w:val="both"/>
      </w:pPr>
      <w:r>
        <w:rPr>
          <w:rFonts w:ascii="Times New Roman"/>
          <w:b w:val="false"/>
          <w:i w:val="false"/>
          <w:color w:val="000000"/>
          <w:sz w:val="28"/>
        </w:rPr>
        <w:t>
      аудит финансовой отчетности эмитента долговых ценных бумаг производится одной из аудиторских организаций, входящих в перечень признаваемых фондовой биржей аудиторских организаций;</w:t>
      </w:r>
    </w:p>
    <w:p>
      <w:pPr>
        <w:spacing w:after="0"/>
        <w:ind w:left="0"/>
        <w:jc w:val="both"/>
      </w:pPr>
      <w:r>
        <w:rPr>
          <w:rFonts w:ascii="Times New Roman"/>
          <w:b w:val="false"/>
          <w:i w:val="false"/>
          <w:color w:val="000000"/>
          <w:sz w:val="28"/>
        </w:rPr>
        <w:t>
      финансовая отчетность эмитента долговых ценных бумаг, подтвержденная аудиторским отчетом, представлялась не менее, чем за два завершенных финансовых года;</w:t>
      </w:r>
    </w:p>
    <w:p>
      <w:pPr>
        <w:spacing w:after="0"/>
        <w:ind w:left="0"/>
        <w:jc w:val="both"/>
      </w:pPr>
      <w:r>
        <w:rPr>
          <w:rFonts w:ascii="Times New Roman"/>
          <w:b w:val="false"/>
          <w:i w:val="false"/>
          <w:color w:val="000000"/>
          <w:sz w:val="28"/>
        </w:rPr>
        <w:t>
      собственный капитал эмитента долговых ценных бумаг составляет сумму, эквивалентную не менее двух миллионов пятидесяти тысячекратного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чистая прибыль эмитента долговых ценных бумаг за один из двух последних лет составляет сумму, эквивалентную не менее восьмидесяти пяти тысяч шестисоткратного размера месячного расчетного показателя, установленного законом о республиканском бюджете на соответствующий финансовый год, согласно финансовой отчетности на последнюю отчетную дату, подтвержденной аудиторским отчетом;</w:t>
      </w:r>
    </w:p>
    <w:p>
      <w:pPr>
        <w:spacing w:after="0"/>
        <w:ind w:left="0"/>
        <w:jc w:val="both"/>
      </w:pPr>
      <w:r>
        <w:rPr>
          <w:rFonts w:ascii="Times New Roman"/>
          <w:b w:val="false"/>
          <w:i w:val="false"/>
          <w:color w:val="000000"/>
          <w:sz w:val="28"/>
        </w:rPr>
        <w:t>
      объем продаж эмитента долговых ценных бумаг - организации, не являющейся финансовой организацией, за исключением лизинговой организации и кредитного товарищества, по основной деятельности за каждый из двух последних лет по данным финансовой отчетности, подтвержденной аудиторским отчетом, составляет сумму, эквивалентную не менее двух миллионов пятидесяти тысячекратного размера месячного расчетного показателя, установленного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наличие кодекса корпоративного управления, утвержденного общим собранием акционеров эмитента долговых ценных бумаг;</w:t>
      </w:r>
    </w:p>
    <w:p>
      <w:pPr>
        <w:spacing w:after="0"/>
        <w:ind w:left="0"/>
        <w:jc w:val="both"/>
      </w:pPr>
      <w:r>
        <w:rPr>
          <w:rFonts w:ascii="Times New Roman"/>
          <w:b w:val="false"/>
          <w:i w:val="false"/>
          <w:color w:val="000000"/>
          <w:sz w:val="28"/>
        </w:rPr>
        <w:t>
      наличие маркет-мейкера по долговым ценным бумагам во время нахождения данных ценных бумаг в официальном списке фондовой биржи;</w:t>
      </w:r>
    </w:p>
    <w:p>
      <w:pPr>
        <w:spacing w:after="0"/>
        <w:ind w:left="0"/>
        <w:jc w:val="both"/>
      </w:pPr>
      <w:r>
        <w:rPr>
          <w:rFonts w:ascii="Times New Roman"/>
          <w:b w:val="false"/>
          <w:i w:val="false"/>
          <w:color w:val="000000"/>
          <w:sz w:val="28"/>
        </w:rPr>
        <w:t>
      в учредительных документах эмитента долговых ценных бумаг и (или) проспекте выпуска ценных бумаг не содержатся нормы, которые ущемляют или ограничивают права собственников ценных бумаг на их отчуждение (передачу);";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50 изложить в следующей редакции:</w:t>
      </w:r>
    </w:p>
    <w:p>
      <w:pPr>
        <w:spacing w:after="0"/>
        <w:ind w:left="0"/>
        <w:jc w:val="both"/>
      </w:pPr>
      <w:r>
        <w:rPr>
          <w:rFonts w:ascii="Times New Roman"/>
          <w:b w:val="false"/>
          <w:i w:val="false"/>
          <w:color w:val="000000"/>
          <w:sz w:val="28"/>
        </w:rPr>
        <w:t>
      "1) изменения цены на акцию эмитента, включенную в первую категорию сектора "акции" официального списка фондовой биржи, на пятнадцать и более процентов в течение одного торгового дня;".</w:t>
      </w:r>
    </w:p>
    <w:bookmarkStart w:name="z9" w:id="4"/>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Келимбетов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