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8532f" w14:textId="e6853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аттестации экспертов, осуществляющих экспертные работы и инжиниринговые услуги в сфере архитектурной, градостроительной и строительной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27 ноября 2014 года № 114. Зарегистрирован в Министерстве юстиции Республики Казахстан 06 января 2015 года № 10058.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Приказ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заголовок внесено изменение на государственном языке, текст на русском языке не меняется в соответствии с приказом Министра по инвестициям и развитию РК от 27.04.2017 </w:t>
      </w:r>
      <w:r>
        <w:rPr>
          <w:rFonts w:ascii="Times New Roman"/>
          <w:b w:val="false"/>
          <w:i w:val="false"/>
          <w:color w:val="000000"/>
          <w:sz w:val="28"/>
        </w:rPr>
        <w:t>№ 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"Об архитектурной, градостроительной и строительной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промышленности и строительства РК от 15.09.2025 </w:t>
      </w:r>
      <w:r>
        <w:rPr>
          <w:rFonts w:ascii="Times New Roman"/>
          <w:b w:val="false"/>
          <w:i w:val="false"/>
          <w:color w:val="000000"/>
          <w:sz w:val="28"/>
        </w:rPr>
        <w:t>№ 367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аттестации экспертов, осуществляющих экспертные работы и инжиниринговые услуги в сфере архитектурной, градостроительной и строительной деятельности.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внесено изменение на государственном языке, текст на русском языке не меняется в соответствии с приказом Министра по инвестициям и развитию РК от 27.04.2017 </w:t>
      </w:r>
      <w:r>
        <w:rPr>
          <w:rFonts w:ascii="Times New Roman"/>
          <w:b w:val="false"/>
          <w:i w:val="false"/>
          <w:color w:val="000000"/>
          <w:sz w:val="28"/>
        </w:rPr>
        <w:t>№ 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строительства, жилищно-коммунального хозяйства и управления земельными ресурсами Министерства национальной экономики Республики Казахстан (Смагулов Б.А.) обеспечить: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 и его официальное опубликование в информационно-правовой системе "Әділет" и в официальных средствах массовой информации;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национальной экономики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национальной экономики Республики Казахстан Ускенбаева Каирбека Айтбаевича.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ноября 2014 года № 114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аттестации экспертов, осуществляющих экспертные работы и инжиниринговые услуги в сфере архитектурной, градостроительной и строительной деятельности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и.о. Министра индустрии и инфраструктурного развития РК от 01.04.2020 </w:t>
      </w:r>
      <w:r>
        <w:rPr>
          <w:rFonts w:ascii="Times New Roman"/>
          <w:b w:val="false"/>
          <w:i w:val="false"/>
          <w:color w:val="ff0000"/>
          <w:sz w:val="28"/>
        </w:rPr>
        <w:t>№ 175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аттестации экспертов, осуществляющих экспертные работы и инжиниринговые услуги в сфере архитектурной, градостроительной и строительной деятельности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16 июля 2001 года "Об архитектурной, градостроительной и строительной деятельности в Республике Казахстан"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и определяют порядок проведения аттестации экспертов осуществляющих экспертные работы и инжиниринговые услуги и оказания государственной услуги "Аттестация экспертов, осуществляющих экспертные работы и инжиниринговые услуги в сфере архитектурной, градостроительной и строительной деятельности".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понятия: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– ведомство центрального государственного органа, осуществляющего руководство в сфере государственного управления архитектурной, градостроительной и строительной деятельностью;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инжиниринговые услуги в сфере архитектурной, градостроительной и строительной деятельности – комплекс услуг (технический и авторский надзоры), обеспечивающий подготовку и осуществление строительства с целью достижения оптимальных проектных показателей;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экспертные работы – работы по экспертизе проектов и проведению технического обследования надежности и устойчивости зданий и сооружений;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эксперт – физическое лицо, осуществляющее определенные виды экспертных работ и инжиниринговых услуг в сфере архитектурной, градостроительной и строительной деятельности;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аттестат эксперта – квалификационный аттестат, удостоверяющий статус эксперта и его право на выполнение экспертных работ и инжиниринговых услуг в сфере архитектурной, градостроительной и строительной деятельности;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заявитель – физическое лицо, претендующее на получение статуса эксперта;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местный уполномоченный орган – структурное подразделение местного исполнительного органа, которое рассматривает документы на соответствие требованиям, утверждает список экспертов, допущенных к тестированию, и график проведения тестирования, а также принимает решение о прохождении экспертами аттестации;</w:t>
      </w:r>
    </w:p>
    <w:bookmarkEnd w:id="17"/>
    <w:bookmarkStart w:name="z2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биометрическая идентификация – биометрические данные, характеризующие физиологические особенности человека и на основе которых возможно установить его личность.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индустрии и инфраструктурного развития РК от 19.05.2023 </w:t>
      </w:r>
      <w:r>
        <w:rPr>
          <w:rFonts w:ascii="Times New Roman"/>
          <w:b w:val="false"/>
          <w:i w:val="false"/>
          <w:color w:val="00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Аттестация проводится в целях определения уровня профессиональной подготовки и компетентности экспертов, знаний государственных нормативов в области архитектуры, градостроительства и строительства и охраны окружающей среды, в сфере санитарно-эпидемиологического благополучия населения и гигиенических нормативов, улучшения качества осуществляемых ими работ, изучения новых требований, с учетом изменений, происходящих в строительной отрасли.</w:t>
      </w:r>
    </w:p>
    <w:bookmarkEnd w:id="19"/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Аттестация проводится для экспертов, осуществляющих следующие виды экспертных работ и инжиниринговых услуг:</w:t>
      </w:r>
    </w:p>
    <w:bookmarkEnd w:id="20"/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экспертиза градостроительной, предпроектной и проектно-сметной документации;</w:t>
      </w:r>
    </w:p>
    <w:bookmarkEnd w:id="21"/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технический надзор;</w:t>
      </w:r>
    </w:p>
    <w:bookmarkEnd w:id="22"/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авторский надзор;</w:t>
      </w:r>
    </w:p>
    <w:bookmarkEnd w:id="23"/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техническое обследование надежности и устойчивости зданий и сооружений.</w:t>
      </w:r>
    </w:p>
    <w:bookmarkEnd w:id="24"/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Эксперты по экспертизе градостроительной, предпроектной и проектно-сметной документации подразделяются по следующим специализациям:</w:t>
      </w:r>
    </w:p>
    <w:bookmarkEnd w:id="25"/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градостроительство;</w:t>
      </w:r>
    </w:p>
    <w:bookmarkEnd w:id="26"/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предпроектная документация;</w:t>
      </w:r>
    </w:p>
    <w:bookmarkEnd w:id="27"/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архитектура;</w:t>
      </w:r>
    </w:p>
    <w:bookmarkEnd w:id="28"/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конструктивная часть;</w:t>
      </w:r>
    </w:p>
    <w:bookmarkEnd w:id="29"/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инженерные сети и системы (по видам инженерных сетей и систем);</w:t>
      </w:r>
    </w:p>
    <w:bookmarkEnd w:id="30"/>
    <w:bookmarkStart w:name="z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технологическая часть (в зависимости от назначения объекта);</w:t>
      </w:r>
    </w:p>
    <w:bookmarkEnd w:id="31"/>
    <w:bookmarkStart w:name="z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сметная часть;</w:t>
      </w:r>
    </w:p>
    <w:bookmarkEnd w:id="32"/>
    <w:bookmarkStart w:name="z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пожарная безопасность;</w:t>
      </w:r>
    </w:p>
    <w:bookmarkEnd w:id="33"/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экологическая часть;</w:t>
      </w:r>
    </w:p>
    <w:bookmarkEnd w:id="34"/>
    <w:bookmarkStart w:name="z3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санитарно-эпидемиологический профиль.</w:t>
      </w:r>
    </w:p>
    <w:bookmarkEnd w:id="35"/>
    <w:bookmarkStart w:name="z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Эксперты по осуществлению технического надзора подразделяются на следующие специализации:</w:t>
      </w:r>
    </w:p>
    <w:bookmarkEnd w:id="36"/>
    <w:bookmarkStart w:name="z3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объектам первого уровня ответственности – в части несущих и ограждающих конструкций;</w:t>
      </w:r>
    </w:p>
    <w:bookmarkEnd w:id="37"/>
    <w:bookmarkStart w:name="z3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объектам первого уровня ответственности – в части инженерных сетей;</w:t>
      </w:r>
    </w:p>
    <w:bookmarkEnd w:id="38"/>
    <w:bookmarkStart w:name="z4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объектам первого уровня ответственности – в части технологического оборудования;</w:t>
      </w:r>
    </w:p>
    <w:bookmarkEnd w:id="39"/>
    <w:bookmarkStart w:name="z4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объектам второго и третьего уровней ответственности – в части несущих и ограждающих конструкций;</w:t>
      </w:r>
    </w:p>
    <w:bookmarkEnd w:id="40"/>
    <w:bookmarkStart w:name="z4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объектам второго и третьего уровней ответственности – в части инженерных сетей;</w:t>
      </w:r>
    </w:p>
    <w:bookmarkEnd w:id="41"/>
    <w:bookmarkStart w:name="z4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объектам второго и третьего уровней ответственности – в части технологического оборудования.</w:t>
      </w:r>
    </w:p>
    <w:bookmarkEnd w:id="42"/>
    <w:bookmarkStart w:name="z4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Эксперты по осуществлению авторского надзора подразделяются по следующим специализациям:</w:t>
      </w:r>
    </w:p>
    <w:bookmarkEnd w:id="43"/>
    <w:bookmarkStart w:name="z4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объектам первого уровня ответственности – в части архитектуры;</w:t>
      </w:r>
    </w:p>
    <w:bookmarkEnd w:id="44"/>
    <w:bookmarkStart w:name="z4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объектам первого уровня ответственности – в части несущих и ограждающих конструкций;</w:t>
      </w:r>
    </w:p>
    <w:bookmarkEnd w:id="45"/>
    <w:bookmarkStart w:name="z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объектам второго и третьего уровней ответственности – в части архитектуры;</w:t>
      </w:r>
    </w:p>
    <w:bookmarkEnd w:id="46"/>
    <w:bookmarkStart w:name="z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объектам второго и третьего уровней ответственности – в части несущих и ограждающих конструкций.</w:t>
      </w:r>
    </w:p>
    <w:bookmarkEnd w:id="47"/>
    <w:bookmarkStart w:name="z4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Эксперты по осуществлению технического и авторского надзора делятся на следующие уровни ответственности:</w:t>
      </w:r>
    </w:p>
    <w:bookmarkEnd w:id="48"/>
    <w:bookmarkStart w:name="z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объектам первого уровня ответственности – осуществляют деятельность, указанную в настоящем пункте, на объектах всех уровней ответственности в рамках имеющего аттестата;</w:t>
      </w:r>
    </w:p>
    <w:bookmarkEnd w:id="49"/>
    <w:bookmarkStart w:name="z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объектам второго и третьего уровней уровней ответственности – осуществляют деятельность, указанную в настоящем пункте, на объектах второго и третьего уровней ответственности в рамках имеющего аттестата.</w:t>
      </w:r>
    </w:p>
    <w:bookmarkEnd w:id="50"/>
    <w:bookmarkStart w:name="z5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аттестации допускаются следующие лица:</w:t>
      </w:r>
    </w:p>
    <w:bookmarkEnd w:id="51"/>
    <w:bookmarkStart w:name="z5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аттестации в качестве эксперта по экспертизе градостроительной, предпроектной и проектно-сметной документации по соответствующим разделам – лица с высшим профессиональным образованием по соответствующим разделам градостроительной, проектно-сметной документации и стажом работы по разработке и (или) экспертизе соответствующих разделов градостроительной, предпроектной и проектно-сметной документации не менее пяти лет;</w:t>
      </w:r>
    </w:p>
    <w:bookmarkEnd w:id="52"/>
    <w:bookmarkStart w:name="z5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аттестации в качестве эксперта технического надзора по объектам первого уровня ответственности в части несущих и ограждающих конструкций - лица с высшим профессиональным образованием в сфере строительства и стажом работы экспертом не менее пяти лет;</w:t>
      </w:r>
    </w:p>
    <w:bookmarkEnd w:id="53"/>
    <w:bookmarkStart w:name="z5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аттестации в качестве эксперта технического надзора по объектам первого уровня ответственности в части инженерных сетей – лица с высшим профессиональным образованием в сфере строительства и стажом работы экспертом не менее пяти лет;</w:t>
      </w:r>
    </w:p>
    <w:bookmarkEnd w:id="54"/>
    <w:bookmarkStart w:name="z5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аттестации в качестве эксперта технического надзора по объектам первого уровня ответственности в части технологического оборудования – лица с высшим профессиональным образованием в сфере строительства и стажом работы экспертом не менее пяти лет;</w:t>
      </w:r>
    </w:p>
    <w:bookmarkEnd w:id="55"/>
    <w:bookmarkStart w:name="z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для аттестации в качестве эксперта технического надзора по объектам второго и третьего уровней ответственности в части несущих и ограждающих конструкций – лица с высшим профессиональным образованием в сфере строительства и стажом работы при производстве строительно-монтажных работ не менее трех лет;</w:t>
      </w:r>
    </w:p>
    <w:bookmarkEnd w:id="56"/>
    <w:bookmarkStart w:name="z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для аттестации в качестве эксперта технического надзора по объектам второго и третьего уровней ответственности в части инженерных сетей – лица с высшим профессиональным образованием в сфере строительства и стажом работы при производстве строительно-монтажных работ не менее трех лет;</w:t>
      </w:r>
    </w:p>
    <w:bookmarkEnd w:id="57"/>
    <w:bookmarkStart w:name="z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для аттестации в качестве эксперта технического надзора по объектам второго и третьего уровней ответственности в части технологического оборудования – лица с высшим профессиональным образованием в сфере строительства и стажом работы при производстве строительно-монтажных работ не менее трех лет;</w:t>
      </w:r>
    </w:p>
    <w:bookmarkEnd w:id="58"/>
    <w:bookmarkStart w:name="z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для аттестации в качестве эксперта авторского надзора по объектам первого уровня ответственности в части архитектуры – лица с высшим профессиональным образованием в сфере строительства и стажом работы экспертом не менее трех лет;</w:t>
      </w:r>
    </w:p>
    <w:bookmarkEnd w:id="59"/>
    <w:bookmarkStart w:name="z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для аттестации в качестве эксперта авторского надзора по объектам первого уровня ответственности в части несущих и ограждающих конструкций – лица с высшим профессиональным образованием в сфере строительства и стажом работы экспертом не менее трех лет;</w:t>
      </w:r>
    </w:p>
    <w:bookmarkEnd w:id="60"/>
    <w:bookmarkStart w:name="z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для аттестации в качестве эксперта авторского надзора по объектам второго и третьего уровней ответственности в части архитектуры – лица с высшим профессиональным образованием в сфере строительства и стажом работы проектной деятельности не менее пяти лет;</w:t>
      </w:r>
    </w:p>
    <w:bookmarkEnd w:id="61"/>
    <w:bookmarkStart w:name="z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для аттестации в качестве эксперта авторского надзора по объектам второго и третьего уровней ответственности в части несущих и ограждающих конструкций – лица с высшим профессиональным образованием в сфере строительства и стажом работы проектной деятельности не менее пяти лет;</w:t>
      </w:r>
    </w:p>
    <w:bookmarkEnd w:id="62"/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для аттестации в качестве эксперта технического обследования надежности и устойчивости зданий и сооружений – лица с высшим профессиональным образованием в сфере строительства и стажом работы проектной деятельности по специализации расчет и конструирование не менее трех лет, либо опытом работы эксперта в данном направлении не менее пяти лет;</w:t>
      </w:r>
    </w:p>
    <w:bookmarkEnd w:id="63"/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для аттестации в качестве эксперта по экспертизе градостроительной, предпроектной и проектно-сметной документации по экологической части – лица с высшим профессиональным образованием по соответствующему разделу и стажом работы по разработке и (или) экспертизе экологической части градостроительной, предпроектной и проектно-сметной документации не менее пяти лет или с высшим профессиональным образованием и стажом работы по разработке и (или) экспертизе экологической части градостроительной, предпроектной и проектно-сметной документации не менее десяти лет;</w:t>
      </w:r>
    </w:p>
    <w:bookmarkEnd w:id="64"/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для аттестации в качестве эксперта по экспертизе градостроительной, предпроектной и проектно-сметной документации в сфере санитарно-эпидемиологического благополучия населения – лица с высшим медицинским образованием санитарно-эпидемиологического профиля и стажом работы по экспертизе соответствующего раздела градостроительной, предпроектной и проектно-сметной документации не менее пяти лет;</w:t>
      </w:r>
    </w:p>
    <w:bookmarkEnd w:id="65"/>
    <w:bookmarkStart w:name="z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для аттестации в качестве эксперта по экспертизе градостроительной, предпроектной и проектно-сметной документации по пожарной безопасности – лица с высшим профессиональным образованием пожарно-технического профиля и стажом работы по разработке и (или) экспертизе соответствующего раздела градостроительной, предпроектной и проектно-сметной документации не менее трех лет или с высшим профессиональным образованием пожарно-технического профиля и стажом работы в сфере государственного контроля в области пожарной безопасности не менее семи лет.</w:t>
      </w:r>
    </w:p>
    <w:bookmarkEnd w:id="66"/>
    <w:bookmarkStart w:name="z23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Уполномоченный орган в течение 3 (трех) рабочих дней с даты утверждения или изменения Правил, актуализируют информацию о порядке оказания государственной услуги и направляют услугодателю, оператору информационно-коммуникационной инфраструктуры "электронного правительства" и в Единый контакт-центр.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и.о. Министра индустрии и инфраструктурного развития РК от 19.05.2023 </w:t>
      </w:r>
      <w:r>
        <w:rPr>
          <w:rFonts w:ascii="Times New Roman"/>
          <w:b w:val="false"/>
          <w:i w:val="false"/>
          <w:color w:val="00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аттестации</w:t>
      </w:r>
    </w:p>
    <w:bookmarkEnd w:id="68"/>
    <w:bookmarkStart w:name="z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"Аттестация экспертов, осуществляющих экспертные работы и инжиниринговые услуги в сфере архитектурной, градостроительной и строительной деятельности" (далее – государственная услуга) оказывается местными исполнительными органами областей, городов Астана, Алматы и Шымкента (далее - услугодатель) согласно настоящим Правилам.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промышленности и строительства РК от 15.09.2025 </w:t>
      </w:r>
      <w:r>
        <w:rPr>
          <w:rFonts w:ascii="Times New Roman"/>
          <w:b w:val="false"/>
          <w:i w:val="false"/>
          <w:color w:val="000000"/>
          <w:sz w:val="28"/>
        </w:rPr>
        <w:t>№ 367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11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Физические лица (далее - услугополучатель) для получения государственной услуги направляют заявление с документами в соответствии с Перечнем основных требований к оказанию государственной услуги, согласно приложения 1 к настоящим Правилам (далее – Перечень основных требований) в форме электронного документа, удостоверенного электронно-цифровой подписью (далее - ЭЦП) услугодателю через веб-портал "электронного правительства" www.egov.kz (далее - портал) или объект информатизации "информационная система в сфере архитектуры, градостроительства и строительства e-Qurylys.kz" (www.equrylys.kz) (далее – информационная система).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промышленности и строительства РК от 15.09.2025 </w:t>
      </w:r>
      <w:r>
        <w:rPr>
          <w:rFonts w:ascii="Times New Roman"/>
          <w:b w:val="false"/>
          <w:i w:val="false"/>
          <w:color w:val="000000"/>
          <w:sz w:val="28"/>
        </w:rPr>
        <w:t>№ 367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12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Перечень документов необходимых для оказания государственной услуги определены в пункте 8 Перечня основных требований.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 и информация из единого накопительного пенсионного фонда о перечисленных обязательных пенсионных взносах, услугодатель получает из информационных систем через шлюз "электронного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статус о принятии заявления для оказания государственной услуги с указанием даты и времени получения результата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и.о. Министра индустрии и инфраструктурного развития РК от 19.05.2023 </w:t>
      </w:r>
      <w:r>
        <w:rPr>
          <w:rFonts w:ascii="Times New Roman"/>
          <w:b w:val="false"/>
          <w:i w:val="false"/>
          <w:color w:val="00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Действия структурных подразделений (работников) услугодателя при получении аттестата эксперта:</w:t>
      </w:r>
    </w:p>
    <w:bookmarkEnd w:id="72"/>
    <w:bookmarkStart w:name="z23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услугодатель осуществляет регистрацию заявления с документами, указанными в пункте 12 настоящих Правил, в день их поступления.</w:t>
      </w:r>
    </w:p>
    <w:bookmarkEnd w:id="73"/>
    <w:bookmarkStart w:name="z23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74"/>
    <w:bookmarkStart w:name="z23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услугодатель рассматривает заявление с документами на соответствие требованиям, указанным в пункте 9 настоящих Правил (далее - Требования) в течении 5 (пяти) рабочих дней.</w:t>
      </w:r>
    </w:p>
    <w:bookmarkEnd w:id="75"/>
    <w:bookmarkStart w:name="z23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услугополучателем неполного пакета документов услугодатель в течение 2 (двух) рабочих дней с момента регистрации представленных документов, указанных в пункте 12 настоящих Правил готовит мотивированный отказ в дальнейшем рассмотрении заявления и направляет в "личный кабинет" услугополучателя.</w:t>
      </w:r>
    </w:p>
    <w:bookmarkEnd w:id="76"/>
    <w:bookmarkStart w:name="z24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рассмотрения, приказом услугодателя утверждается следующие решения, которые оформляются в отношении услугополучателя:</w:t>
      </w:r>
    </w:p>
    <w:bookmarkEnd w:id="77"/>
    <w:bookmarkStart w:name="z24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допущен к тестированию;</w:t>
      </w:r>
    </w:p>
    <w:bookmarkEnd w:id="78"/>
    <w:bookmarkStart w:name="z24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допущен к тестированию.</w:t>
      </w:r>
    </w:p>
    <w:bookmarkEnd w:id="79"/>
    <w:bookmarkStart w:name="z24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направляет уведомление в "личный кабинет" услугополучателя о допуске к тестированию в течение 5 (пяти) рабочих дней со дня подачи документов.</w:t>
      </w:r>
    </w:p>
    <w:bookmarkEnd w:id="80"/>
    <w:bookmarkStart w:name="z24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81"/>
    <w:bookmarkStart w:name="z24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срока, указанных настоящим подпунктом. Заслушивание проводится не позднее 2 (двух) рабочих дней со дня уведомления.</w:t>
      </w:r>
    </w:p>
    <w:bookmarkEnd w:id="82"/>
    <w:bookmarkStart w:name="z24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решение о допуске к тестированию либо мотивированный отказ в оказании государственной услуги;</w:t>
      </w:r>
    </w:p>
    <w:bookmarkEnd w:id="83"/>
    <w:bookmarkStart w:name="z24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тестирование проводится в течении 7 (семи) рабочих дней. Услугодатель в день проведения тестирования проводит ознакомление заявителей с результатами тестирования;</w:t>
      </w:r>
    </w:p>
    <w:bookmarkEnd w:id="84"/>
    <w:bookmarkStart w:name="z24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услугодатель оформляет, подписывает и направляет в "личный кабинет" услугополучателя аттестат эксперта либо мотивированный отказ согласно пункту 9 Перечня основных требований в течении 2 (двух) рабочих дней.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и.о. Министра индустрии и инфраструктурного развития РК от 19.05.2023 </w:t>
      </w:r>
      <w:r>
        <w:rPr>
          <w:rFonts w:ascii="Times New Roman"/>
          <w:b w:val="false"/>
          <w:i w:val="false"/>
          <w:color w:val="00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Тестирование предусматривает следующие требования и процедуры:</w:t>
      </w:r>
    </w:p>
    <w:bookmarkEnd w:id="86"/>
    <w:bookmarkStart w:name="z21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проведение тестирования автоматизированным компьютерным способом на государственном или русском языках по выбору заявителя. </w:t>
      </w:r>
    </w:p>
    <w:bookmarkEnd w:id="87"/>
    <w:bookmarkStart w:name="z22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для получения аттестата эксперта по экспертизе градостроительной, предпроектной и проектно-сметной документации тестирование проводится на английском языке;</w:t>
      </w:r>
    </w:p>
    <w:bookmarkEnd w:id="88"/>
    <w:bookmarkStart w:name="z22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допуск заявителей на тестирование осуществляется по предъявлению документа, удостоверяющего личность;</w:t>
      </w:r>
    </w:p>
    <w:bookmarkEnd w:id="89"/>
    <w:bookmarkStart w:name="z22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сотрудники Услугодателя ознакамливают тестируемых с процедурой проведения тестирования;</w:t>
      </w:r>
    </w:p>
    <w:bookmarkEnd w:id="90"/>
    <w:bookmarkStart w:name="z22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 время тестирования эксперты не могут разговаривать и покидать помещение, в котором проводится тестирование. Запрещено использование персональных электронных устройств (в том числе компьютеров, мобильных телефонов во время тестирования);</w:t>
      </w:r>
    </w:p>
    <w:bookmarkEnd w:id="91"/>
    <w:bookmarkStart w:name="z22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сотрудники Услугодателя удаляют с тестирования заявителей, нарушивших настоящую процедуру проведения тестирования;</w:t>
      </w:r>
    </w:p>
    <w:bookmarkEnd w:id="92"/>
    <w:bookmarkStart w:name="z22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подсчет правильных ответов компьютерного тестирования проводится автоматически компьютерной программой.</w:t>
      </w:r>
    </w:p>
    <w:bookmarkEnd w:id="93"/>
    <w:bookmarkStart w:name="z22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Время, отпущенное на тестирование составляет 100 минут. Тест состоит из 100 вопросов. Тестовые вопросы разрабатываются и утверждаются уполномоченным органом.</w:t>
      </w:r>
    </w:p>
    <w:bookmarkEnd w:id="94"/>
    <w:bookmarkStart w:name="z22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Пороговый уровень для прохождения тестирования составляет:</w:t>
      </w:r>
    </w:p>
    <w:bookmarkEnd w:id="95"/>
    <w:bookmarkStart w:name="z22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экспертов указанных в подпунктах 2), 3), 4), 8), 9) пункта 9 настоящих Правил – 90 и более правильных ответов;</w:t>
      </w:r>
    </w:p>
    <w:bookmarkEnd w:id="96"/>
    <w:bookmarkStart w:name="z22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всех остальных экспертов – 70 и более правильных ответов.</w:t>
      </w:r>
    </w:p>
    <w:bookmarkEnd w:id="97"/>
    <w:bookmarkStart w:name="z23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повторной пересдачи аттестации не ограничено.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индустрии и инфраструктурного развития РК от 23.07.2021 </w:t>
      </w:r>
      <w:r>
        <w:rPr>
          <w:rFonts w:ascii="Times New Roman"/>
          <w:b w:val="false"/>
          <w:i w:val="false"/>
          <w:color w:val="000000"/>
          <w:sz w:val="28"/>
        </w:rPr>
        <w:t>№ 389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14-1. Минимальные технические требования по техническому оснащению при проведении тестирования:</w:t>
      </w:r>
    </w:p>
    <w:bookmarkEnd w:id="99"/>
    <w:bookmarkStart w:name="z25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 началом тестирования, экзаменуемые лица проходят идентификацию по предоставлению документа, удостоверяющего личность;</w:t>
      </w:r>
    </w:p>
    <w:bookmarkEnd w:id="100"/>
    <w:bookmarkStart w:name="z25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запуске на тестирование используются металлоискатели ручного или рамочного типа. Применение металлоискателей при запуске на тестирование осуществляется в рамках обеспечения безопасности экзаменуемых лиц при проведении тестирования, а также недопущения проноса ими в здание средств связи, электронно-вычислительной техники, фото-, аудио- и видеоаппаратуры, справочных материалов, письменных заметок и иных средств хранения и передачи информации;</w:t>
      </w:r>
    </w:p>
    <w:bookmarkEnd w:id="101"/>
    <w:bookmarkStart w:name="z25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того, чтобы начать тестирование, экзаменуемому лицу необходимо подтвердить личность посредством биометрической идентификации;</w:t>
      </w:r>
    </w:p>
    <w:bookmarkEnd w:id="102"/>
    <w:bookmarkStart w:name="z25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залы тестирования должны быть оборудованы рабочими станциями (процессор не менее Intel Core i3, оперативная память не менее 4 Гб), системы кондиционирования помещений, диспенсер, зал ожидания;</w:t>
      </w:r>
    </w:p>
    <w:bookmarkEnd w:id="103"/>
    <w:bookmarkStart w:name="z25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каждая рабочая станция должна быть оснащена веб-камерами для ведения видеозаписи процесса тестирования;</w:t>
      </w:r>
    </w:p>
    <w:bookmarkEnd w:id="104"/>
    <w:bookmarkStart w:name="z25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зал тестирования должен быть оборудован современной системой цифрового видео и аудио наблюдения. Для обеспечения прозрачности и объективности проведения тестирования аудитории в пунктах проведения обеспечиваются системой общего видеонаблюдения;</w:t>
      </w:r>
    </w:p>
    <w:bookmarkEnd w:id="105"/>
    <w:bookmarkStart w:name="z25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зал тестирования должен быть установлен принтер с возможностью печати;</w:t>
      </w:r>
    </w:p>
    <w:bookmarkEnd w:id="106"/>
    <w:bookmarkStart w:name="z25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зал тестирования должен быть оборудован управляемым коммутатором и локальной сетью, и соответствовать требованиям информационной безопасности;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14-1 в соответствии с приказом и.о. Министра индустрии и инфраструктурного развития РК от 19.05.2023 </w:t>
      </w:r>
      <w:r>
        <w:rPr>
          <w:rFonts w:ascii="Times New Roman"/>
          <w:b w:val="false"/>
          <w:i w:val="false"/>
          <w:color w:val="00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Действий структурных подразделений (работников) услугодателя при переоформлении аттестата эксперта в случаях, указанных </w:t>
      </w:r>
      <w:r>
        <w:rPr>
          <w:rFonts w:ascii="Times New Roman"/>
          <w:b w:val="false"/>
          <w:i w:val="false"/>
          <w:color w:val="000000"/>
          <w:sz w:val="28"/>
        </w:rPr>
        <w:t>пунктом 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Правил:</w:t>
      </w:r>
    </w:p>
    <w:bookmarkEnd w:id="108"/>
    <w:bookmarkStart w:name="z10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услугодатель осуществляет регистрацию заявления с документами, указанных подпунктами 2) и 3)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день их поступления.</w:t>
      </w:r>
    </w:p>
    <w:bookmarkEnd w:id="109"/>
    <w:bookmarkStart w:name="z10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услугодатель рассматривает заявление с документами оформляет, подписывает и направляет в "личный кабинет" услугополучателя аттестат эксперта в течении – 2 (двух) рабочих дней. </w:t>
      </w:r>
    </w:p>
    <w:bookmarkEnd w:id="111"/>
    <w:bookmarkStart w:name="z10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 предоставляются услугодателю из информационных систем через шлюз "электронного правительства".</w:t>
      </w:r>
    </w:p>
    <w:bookmarkEnd w:id="112"/>
    <w:bookmarkStart w:name="z10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Аттестат эксперта подлежит переоформлению в следующих случаях:</w:t>
      </w:r>
    </w:p>
    <w:bookmarkEnd w:id="113"/>
    <w:bookmarkStart w:name="z10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фамилии, имени, отчества (при его наличии) физического лица;</w:t>
      </w:r>
    </w:p>
    <w:bookmarkEnd w:id="114"/>
    <w:bookmarkStart w:name="z10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перевод бумажного аттестата на электронный аттестат без указания срока действия;</w:t>
      </w:r>
    </w:p>
    <w:bookmarkEnd w:id="115"/>
    <w:bookmarkStart w:name="z10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 электронного аттестата со сроком на электронный аттестат без срока.</w:t>
      </w:r>
    </w:p>
    <w:bookmarkEnd w:id="116"/>
    <w:bookmarkStart w:name="z10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117"/>
    <w:bookmarkStart w:name="z10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Информация об аттестованных экспертах размещается на официальном интернет-ресурсе уполномоченного органа.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19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Аттестат эксперта публикуется на веб-портале "электронного правительства": www.egov.kz в течение пяти рабочих дней со дня подписания приказа услугодателя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9"/>
    <w:bookmarkStart w:name="z11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получении аттестата на право осуществления инжиниринговых услуг (авторский и технический наздор) в сфере архитектурной, градостроительной и строительной деятельности по одному разделу более высокого уровня ответственности, имеющиеся аттестат того же раздела низкого уровня ответственности считаются не действительными.</w:t>
      </w:r>
    </w:p>
    <w:bookmarkEnd w:id="120"/>
    <w:bookmarkStart w:name="z112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его должностных лиц по вопросам оказания государственной услуги</w:t>
      </w:r>
    </w:p>
    <w:bookmarkEnd w:id="121"/>
    <w:bookmarkStart w:name="z11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индустрии и инфраструктурного развития РК от 24.03.2022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22. Исключен приказом Министра индустрии и инфраструктурного развития РК от 24.03.2022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23. Исключен приказом Министра индустрии и инфраструктурного развития РК от 24.03.2022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экспертов, осуществляющих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экспертные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инжиниринговые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архитектурной,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строительной деятельности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промышленности и строительства РК от 15.09.2025 </w:t>
      </w:r>
      <w:r>
        <w:rPr>
          <w:rFonts w:ascii="Times New Roman"/>
          <w:b w:val="false"/>
          <w:i w:val="false"/>
          <w:color w:val="ff0000"/>
          <w:sz w:val="28"/>
        </w:rPr>
        <w:t>№ 367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"Аттестация экспертов, осуществляющих экспертные работы и инжиниринговые услуги в сфере архитектурной, градостроительной и строительной деятельности":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экспертные работы по экспертизе градостроительной, предпроектной и проектно-сметной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инжиниринговые услуги по техническому надзору;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инжиниринговые услуги по авторскому надзору;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экспертные работы по техническому обследованию надежности и устойчивости зданий и сооружений;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аттестата при изменении фамилии, имени, отчества (при его наличии) физического лица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Астана, Алматы и Шымкента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 аттестата – 15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аттестат при изменении фамилии, имени, отчества (при его наличии) физического лица, – 3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или переоформление аттестата эксперта, осуществляющего экспертные работы и инжиниринговые услуги в сфере архитектурной, градостроительной и строительной деятельности,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 получении: заявление в форме электронного документа, удостоверенный электронной цифровой подписью заявителя,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удостоверяющий личность, либо электронный документ из сервиса цифровых документов – для идентификации личности заявителя (предъявляется при допуске на тестирование);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аттестации в качестве эксперта по экспертизе градостроительной, предпроектной и проектно-сметной документации, электронная копия диплома о высшем профессиональном образовании по соответствующим разделам градостроительной, проектно-сметной документации (в случае наличия ученой степени и ученого звания, электронная копия подтверждающего документа) или для иностранных граждан электронная копия легализованного или апостилированного документа об образовании и приложения к нему и нотариально засвидетельствованный перевод (в случае, если документ полностью на иностранном языке) документа об образовании и приложения к нему, включая перевод штампа печати;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аттестации в качестве эксперта по техническому и авторскому надзору и техническому обследованию надежности и устойчивости зданий и сооружений, копия диплома о высшем профессиональном образовании (в случае наличия ученой степени и ученого звания, электронная копия подтверждающего документа) или для иностранных граждан электронная копия легализованного или апостилированного документа об образовании и приложения к нему и нотариально засвидетельствованный перевод (в случае, если документ полностью на иностранном языке) документа об образовании и приложения к нему, включая перевод штампа печати;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выписка из единого накопительного пенсионного фонда о перечисленных обязательных пенсионных взносах, трудовая книжка.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отсутствии трудовой книжки предоставляется: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трудового договора с отметкой работодателя о дате и основании его прекращения;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выписки из актов работодателя, подтверждающие возникновение и прекращение трудовых отношений на основе заключения и прекращения трудового договора;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архивной справки, содержащей сведения о трудовой деятельности работника.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иностранных граждан электронная копия легализованного или апостилированного документа подтверждающих трудовую деятельность и нотариально засвидетельствованный перевод (в случае, если документ полностью на иностранном языке), включая перевод штампа печати.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в связи с изменением фамилии, имени, отчества (при его наличии) физического лица: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удостоверенный электронной цифровой подписью заявителя, по форме согласно приложению 5 к настоящим Правилам;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данными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по результатам прохождения тестирования заявитель получил оценку ниже порогового уровня.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аттестации экспертов,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экспертные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работы и инжиниринговые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в сфере архитектурной,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градостроительной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В _____________________________________________________________  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(полное наименование услугодателя) 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от ____________________________________________________________ 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(полные фамилия, имя, отчество (при его наличии) физического лица)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(далее – Ф.И.О.)  </w:t>
      </w:r>
    </w:p>
    <w:bookmarkStart w:name="z232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ЗАЯВЛЕНИЕ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индустрии и инфраструктурного развития РК от 23.07.2021 </w:t>
      </w:r>
      <w:r>
        <w:rPr>
          <w:rFonts w:ascii="Times New Roman"/>
          <w:b w:val="false"/>
          <w:i w:val="false"/>
          <w:color w:val="ff0000"/>
          <w:sz w:val="28"/>
        </w:rPr>
        <w:t>№ 389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аттестовать меня в качестве эксперта по осуществлению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подпункт пункта 4 Правил)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специализации 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подпункт пунктов 5, 6, 7 Правил)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физическом лице: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Год рождения: 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Данные документа удостоверяющего личность: 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(серия, номер, кем и когда выдан)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Образование: 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учебного заведения, дата окончания, номер диплома)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Адрес, телефон: 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5. Место работы:______________________________________________________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Язык тестирования: 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7. Прилагаемые документы: 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Согласен на использование сведений, составляющих охраняемую законом тайну,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содержащихся в информационных системах.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 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                        (Ф.И.О.)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экспертов,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экспертные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 и инжиниринговые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в сфере архитектурной,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[Наименование местного уполномоченного органа] [на гос. языке]</w:t>
            </w:r>
          </w:p>
          <w:bookmarkEnd w:id="124"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25"/>
          <w:p>
            <w:pPr>
              <w:spacing w:after="20"/>
              <w:ind w:left="20"/>
              <w:jc w:val="both"/>
            </w:pPr>
          </w:p>
          <w:bookmarkEnd w:id="12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46300" cy="182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местного уполномоченного органа] [на рус. языке]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[Реквизиты местного уполномоченного органа на гос. языке]</w:t>
            </w:r>
          </w:p>
          <w:bookmarkEnd w:id="12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местного уполномоченного органа на рус. языке]</w:t>
            </w:r>
          </w:p>
        </w:tc>
      </w:tr>
    </w:tbl>
    <w:bookmarkStart w:name="z19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Эксперта осуществляющего работы и инжиниринговые услуги в сфере архитектурной, градостроительный и строительной деятельности</w:t>
      </w:r>
    </w:p>
    <w:bookmarkEnd w:id="127"/>
    <w:bookmarkStart w:name="z200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АТТЕСТАТ</w:t>
      </w:r>
    </w:p>
    <w:bookmarkEnd w:id="128"/>
    <w:bookmarkStart w:name="z20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[Номер]</w:t>
      </w:r>
    </w:p>
    <w:bookmarkEnd w:id="129"/>
    <w:bookmarkStart w:name="z20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удостоверяется что:</w:t>
      </w:r>
    </w:p>
    <w:bookmarkEnd w:id="130"/>
    <w:bookmarkStart w:name="z20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[ФАМИЛИЯ] [ИМЯ] [ОТЧЕСТВО]</w:t>
      </w:r>
    </w:p>
    <w:bookmarkEnd w:id="131"/>
    <w:bookmarkStart w:name="z20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присвоин статус эксперта по экспертным работам и инжиниринговым услугам с правом осуществления этой деятельности:</w:t>
      </w:r>
    </w:p>
    <w:bookmarkEnd w:id="132"/>
    <w:bookmarkStart w:name="z20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виду: [Вид экспертных работ и инжиниринговых услуг]</w:t>
      </w:r>
    </w:p>
    <w:bookmarkEnd w:id="133"/>
    <w:bookmarkStart w:name="z20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специализации: [Специализация]</w:t>
      </w:r>
    </w:p>
    <w:bookmarkEnd w:id="134"/>
    <w:bookmarkStart w:name="z20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руководителя местного уполномоченного органа</w:t>
      </w:r>
    </w:p>
    <w:bookmarkEnd w:id="135"/>
    <w:bookmarkStart w:name="z20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[Дата приказа] № [Номер приказа]</w:t>
      </w:r>
    </w:p>
    <w:bookmarkEnd w:id="136"/>
    <w:bookmarkStart w:name="z20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[Дата выдачи]</w:t>
      </w:r>
    </w:p>
    <w:bookmarkEnd w:id="137"/>
    <w:bookmarkStart w:name="z21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[Должность подписывающего] [ФИО подписывающего]</w:t>
      </w:r>
    </w:p>
    <w:bookmarkEnd w:id="138"/>
    <w:bookmarkStart w:name="z21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9"/>
    <w:p>
      <w:pPr>
        <w:spacing w:after="0"/>
        <w:ind w:left="0"/>
        <w:jc w:val="both"/>
      </w:pPr>
      <w:r>
        <w:drawing>
          <wp:inline distT="0" distB="0" distL="0" distR="0">
            <wp:extent cx="7658100" cy="82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документ согласно пункту 1 статьи 7 ЗРК от 7 января 2003 года "Об электронном документе и электронный цифровой подписи" равнозначен документу на бумажном носителе.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экспертов,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экспертные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 и инжиниринговые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в сфере архитектурной,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5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Заявление для переоформления аттестата эксперта</w:t>
      </w:r>
    </w:p>
    <w:bookmarkEnd w:id="141"/>
    <w:p>
      <w:pPr>
        <w:spacing w:after="0"/>
        <w:ind w:left="0"/>
        <w:jc w:val="both"/>
      </w:pPr>
      <w:bookmarkStart w:name="z216" w:id="142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________________________________________________________________________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(полные фамилия, имя, отчество (при его наличии) физического лица) (далее –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переоформить аттестат эксперта №________________ от _________ 20___ года,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выданную(ое) на осуществление______________________________________________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подпункт пункта 4 Правил)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специализации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подпункт пунктов 5, 6, 7 Правил)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следующему(им) основанию(ям) (укажите в соответствующей ячейке 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изменения фамилии, имени, отчества (при его наличии) физического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перевод бумажного аттестата в электронный аттестат без указания срока действия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перевод электронного аттестата со сроком на электронный аттестат без срока</w:t>
      </w:r>
    </w:p>
    <w:p>
      <w:pPr>
        <w:spacing w:after="0"/>
        <w:ind w:left="0"/>
        <w:jc w:val="both"/>
      </w:pPr>
      <w:bookmarkStart w:name="z217" w:id="143"/>
      <w:r>
        <w:rPr>
          <w:rFonts w:ascii="Times New Roman"/>
          <w:b w:val="false"/>
          <w:i w:val="false"/>
          <w:color w:val="000000"/>
          <w:sz w:val="28"/>
        </w:rPr>
        <w:t>
      1. Адрес, телефон: __________________________________________________________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работы:____________________________________________________________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Прилагаемые документы: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            (Ф.И.О.)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