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8798" w14:textId="b598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9 декабря 2014 года № 136. Зарегистрирован в Министерстве юстиции Республики Казахстан 24 декабря 2014 года № 9994.</w:t>
      </w:r>
    </w:p>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30.07.2019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23-9)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единые квалификационные </w:t>
      </w:r>
      <w:r>
        <w:rPr>
          <w:rFonts w:ascii="Times New Roman"/>
          <w:b w:val="false"/>
          <w:i w:val="false"/>
          <w:color w:val="000000"/>
          <w:sz w:val="28"/>
        </w:rPr>
        <w:t>требования</w:t>
      </w:r>
      <w:r>
        <w:rPr>
          <w:rFonts w:ascii="Times New Roman"/>
          <w:b w:val="false"/>
          <w:i w:val="false"/>
          <w:color w:val="000000"/>
          <w:sz w:val="28"/>
        </w:rPr>
        <w:t>, предъявляемые для осуществления лицензируемой архитектурной, градостроительной и строительной деятельности.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30.07.2019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(Смагулов Б.А.)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 Ускенбаева Каирбека Айтбаевича.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Рау   </w:t>
      </w:r>
    </w:p>
    <w:p>
      <w:pPr>
        <w:spacing w:after="0"/>
        <w:ind w:left="0"/>
        <w:jc w:val="both"/>
      </w:pPr>
      <w:r>
        <w:rPr>
          <w:rFonts w:ascii="Times New Roman"/>
          <w:b w:val="false"/>
          <w:i w:val="false"/>
          <w:color w:val="000000"/>
          <w:sz w:val="28"/>
        </w:rPr>
        <w:t>
      8 декабря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bookmarkStart w:name="z7" w:id="5"/>
    <w:p>
      <w:pPr>
        <w:spacing w:after="0"/>
        <w:ind w:left="0"/>
        <w:jc w:val="left"/>
      </w:pPr>
      <w:r>
        <w:rPr>
          <w:rFonts w:ascii="Times New Roman"/>
          <w:b/>
          <w:i w:val="false"/>
          <w:color w:val="000000"/>
        </w:rPr>
        <w:t xml:space="preserve"> Единые квалификационные требования и перечень документов, подтверждающих соответствие им, для осуществления деятельности в сфере архитектуры, градостроительства и строительства</w:t>
      </w:r>
    </w:p>
    <w:bookmarkEnd w:id="5"/>
    <w:p>
      <w:pPr>
        <w:spacing w:after="0"/>
        <w:ind w:left="0"/>
        <w:jc w:val="both"/>
      </w:pPr>
      <w:r>
        <w:rPr>
          <w:rFonts w:ascii="Times New Roman"/>
          <w:b w:val="false"/>
          <w:i w:val="false"/>
          <w:color w:val="ff0000"/>
          <w:sz w:val="28"/>
        </w:rPr>
        <w:t xml:space="preserve">
      Сноска. Единые квалификационные требования - в редакции приказа Министра индустрии и инфраструктурного развития РК от 07.12.2022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индустрии и инфраструктурного развития РК от 19.05.2023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Изыскательская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инженерно-технического работника, имеющего соответствующее высшее профессиональное образование в области изыскательской деятельности и трудовой стаж (трудовая деятельность) работы не менее трех лет по профилю работ, входящих в состав запрашиваемого подвида лицензируемого вида деятельности, или соответствующее среднее профессиональное или техническое и профессиональное образование в области изыскательской деятельности, трудовой стаж (трудовая деятельность) не менее пяти лет по профилю работ, входящих в состав запрашиваемого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квалификации и стаже работы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согласно </w:t>
            </w:r>
            <w:r>
              <w:rPr>
                <w:rFonts w:ascii="Times New Roman"/>
                <w:b w:val="false"/>
                <w:i w:val="false"/>
                <w:color w:val="000000"/>
                <w:sz w:val="20"/>
              </w:rPr>
              <w:t>приложения 1</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контрольно-измерительных приборов, механизмов, приспособлений, которые используются в зависимости от технических требований, необходимых для выполнения заявленных работ подвида; лицензируемого вида деятельности;</w:t>
            </w:r>
          </w:p>
          <w:p>
            <w:pPr>
              <w:spacing w:after="20"/>
              <w:ind w:left="20"/>
              <w:jc w:val="both"/>
            </w:pPr>
            <w:r>
              <w:rPr>
                <w:rFonts w:ascii="Times New Roman"/>
                <w:b w:val="false"/>
                <w:i w:val="false"/>
                <w:color w:val="000000"/>
                <w:sz w:val="20"/>
              </w:rPr>
              <w:t>
2) персонального компьютера с установленным программным обеспечением, необходимым для выполнения расчетов, составления и оформления графических и иных материалов при осуществлении инженерно-геодезических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материально-технической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заявителем (лицензиатом) инструкции по системе контроля качества, регламентирующей надлежащее выполнение работ и обеспечение качества (нормоконтроль, контроль качества производства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утвержденной инструкции по системе контроля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заявителем (лицензиатом) правил и инструкций по системе охраны труда и техники безопасности с приложением документов, подтверждающих обучение ответственного инженерно-технического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утвержденных правилах и инструкциях по системе охраны труда и техники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Проектная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Квалификационные требования к лицензиатам ІІІ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8"/>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требования к лицензиатам 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9"/>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(проектно-изыскательской деятельности в части проектирования),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десяти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bookmarkEnd w:id="10"/>
          <w:p>
            <w:pPr>
              <w:spacing w:after="20"/>
              <w:ind w:left="20"/>
              <w:jc w:val="both"/>
            </w:pPr>
            <w:r>
              <w:rPr>
                <w:rFonts w:ascii="Times New Roman"/>
                <w:b w:val="false"/>
                <w:i w:val="false"/>
                <w:color w:val="000000"/>
                <w:sz w:val="20"/>
              </w:rPr>
              <w:t>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требования к лицензиатам 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1"/>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проектную деятельность (проектно-изыскательскую деятельности в части проектирования) для морских нефтегазовых проектов на территории Республики Казахстан, либо опыт работы не менее пяти лет в качестве лицензиата ІІ категории.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лиц в качестве опыта работы учитывается равнозначный разрешительный документ на осуществление проектной деятельности (проектно-изыскательской деятельности в части проектирования).</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опыт работы не менее шести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bookmarkEnd w:id="13"/>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рекомендация от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двадцати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Строительно-монтажные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требования к лицензиатам ІІІ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4"/>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Квалификационные требования к лицензиатам 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6"/>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17"/>
          <w:p>
            <w:pPr>
              <w:spacing w:after="20"/>
              <w:ind w:left="20"/>
              <w:jc w:val="both"/>
            </w:pP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строительно-монтажных работ,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десяти объектов первого и (или) 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Квалификационные требования к лицензиатам 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8"/>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bookmarkEnd w:id="19"/>
          <w:p>
            <w:pPr>
              <w:spacing w:after="20"/>
              <w:ind w:left="20"/>
              <w:jc w:val="both"/>
            </w:pP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строительно-монтажные работы для морских нефтегазовых проектов на территории Республики Казахстан, либо опыт работы не менее пяти лет в качестве лицензиата ІІ категории. Опыт работы исчисляется со дня получения лицензии, при этом в случае прекращения действия лицензии опыт работы аннулируется.</w:t>
            </w:r>
          </w:p>
          <w:bookmarkEnd w:id="20"/>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уровней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двадцати объектов первого и (или)второго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45" w:id="21"/>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оборудование,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 закладка геодезических центров;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геодезическая рулетка, GPS-приҰмник, трассопоисковое оборудование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съемочных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работы, связанные с переносом в натуру с привязкой инженерно-геологических выработок, геофизических и других точек изысканий;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рекогносцировка и съемка;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Буровое оборудование, грузовая техника, техника для перевозки специалистов.</w:t>
            </w:r>
          </w:p>
          <w:bookmarkEnd w:id="22"/>
          <w:p>
            <w:pPr>
              <w:spacing w:after="20"/>
              <w:ind w:left="20"/>
              <w:jc w:val="both"/>
            </w:pPr>
            <w:r>
              <w:rPr>
                <w:rFonts w:ascii="Times New Roman"/>
                <w:b w:val="false"/>
                <w:i w:val="false"/>
                <w:color w:val="000000"/>
                <w:sz w:val="20"/>
              </w:rPr>
              <w:t>
Договор с лабораториями проводящие определение физико-механических свойств грунтов и химического состава воды,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исследования грунтов, гидрогеологические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Специальная буровая техника для проходки инженерно – геологических выработок, пробоотборники грунтов, оборудование для производства полевых опытных работ по определению физико – механических свойств грунтов основания, специальное оборудование для производства полевых опытных работ по определению гидрогеологических свойств грунтов основания, специальное оборудование для определения коррозионной грунтов, оборудованные рабочие места, вахтовки, грузовая техника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Буровая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с лабораториями проводящие определение физико-механических свойств грунтов и химического состава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теодолит, нивелир или электронный тахеометр, Георадар, Сейсмостанция,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GPS приемник,</w:t>
            </w:r>
          </w:p>
          <w:p>
            <w:pPr>
              <w:spacing w:after="20"/>
              <w:ind w:left="20"/>
              <w:jc w:val="both"/>
            </w:pPr>
            <w:r>
              <w:rPr>
                <w:rFonts w:ascii="Times New Roman"/>
                <w:b w:val="false"/>
                <w:i w:val="false"/>
                <w:color w:val="000000"/>
                <w:sz w:val="20"/>
              </w:rPr>
              <w:t>
Лазерная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BERNESE, GAMIT, Magnet Office, Trimble Business Centre, Leica Geo Office, Erdas Imagine, PHOTOMOD или их аналоги, или другие программы, позволяющее выполнить данные виды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3" w:id="24"/>
    <w:p>
      <w:pPr>
        <w:spacing w:after="0"/>
        <w:ind w:left="0"/>
        <w:jc w:val="left"/>
      </w:pPr>
      <w:r>
        <w:rPr>
          <w:rFonts w:ascii="Times New Roman"/>
          <w:b/>
          <w:i w:val="false"/>
          <w:color w:val="00000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газоснабжения населенных пунктов и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электроснабжения населенных пунктов с размещением объектов по производству и транспортировке электрической энергии в системе а также электроснабжения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телекоммуникаций и связи для населенных пунктов с размещением объектов инфраструктуры и источников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генеральных планов объектов, инженерной подготовки территории, благоустройства и организации рельефа;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оснований и фундаментов;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Лира, Autodesk Revit, Nemetschek ALLPLAN, Autodesk Nevisworks Manag, ЛИРА САПР, SCAD Office)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бетонных и железобетонных, каменных и армокаменных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металлических (стальных, алюминиевых и из сплавов)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Autodesk AutoCad Civil 3D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водопровода (горячей и холодной воды) и канализации, а также их наружных сетей с вспомогательными объектами;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слаботочных устройств (телефонизации, пожарно-охранной сигнализации), а также их наружных сетей;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внутреннего и наружного электроосвещения, электроснабжения до 0,4 кВ и до 10 кВ;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электроснабжения до 35 кВ, до 110 кВ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 нефтепродуктопроводы, газопроводы (газоснабжение среднего и высокого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энергетической промышленности;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перерабатывающей промышленности, включая легкую и пищевую промышленность;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тяжелого машиностроения;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микробиологической и фармацевтической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 дамб, других гидротехнических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конструкций башенного и мачтового типа;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подъемно-транспортных устройств и лифтов;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линий связи, радио-, телекоммуникаций;</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(включая спутниковые) и иных видов телекоммуникаций;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 включающее: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сообщения железнодорожного транспорта;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всех категорий;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улично-дорожную сеть городского электрического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мостовые переходы, в том числе транспортные эстакады и многоуровневые развязки;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5" w:id="25"/>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измерительные приборы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автокран, погрузчик, самосвал, поливочная машина, водоотливные и водопонизительные установки, грейдер, погрузчик, виброкаток) или другая альтернативная техника позволяющая выполнить данный подвид 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насосы для перекачки воды, насосы, виброплита, вибротрамбовки (пневматическая, электрическая), бетонолом, агрегат для сварки труб,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 в грунте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(Буровой агрегат, буровая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технологического режима бурения, средства контроля параметров процесса бурения,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Подводно-технические работы и работы на морском шельфе;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(Морское судно, баржа, колокол для работ под водой, катер, земснаряд понтоны) или другая альтернативная техника позволяющая выполнить данный подвид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грузоподъемное оборудование (лебедки), дизельный генератор, понтон, гидромонитор, пульпопровод, агрегат для сварки труб, установка для гидравлических испытаний, GPS эхолот картограф, водолазный телевизионный комплекс, станция водолазной проводной связи, гидромониторы высокого давления для размыва и удаления грунта, фотокомплекс со вспышкой и сменными объективами, инструменты необходимые для производства подводных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дальномер, кабельный сканер, глубиномер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металлических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длинномер)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грузоподъемное оборудование (лебедки), дизельный генератор, леса строительные,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башенного и мачтового типа, дымовых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домкрат гидравлический, электроинструменты, ножницы электрические, перфоратор, электродрель, шуруповерт,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уровень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несущих конструкций мостов и мостовых переходов;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сваебойная установка, бетононасос,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бункер для подачи бетона, вибропогружатель, установка для срезки голов свай, грузоподъемное оборудование (лебедки), дизельный генератор, леса строительные, стремянка, опалубка перекрытия в комплекте, опалубки диафрагм в комплекте,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бетономешалка,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и селезащитные сооружения, плотины, дамбы;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плавсредства,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водолазное оборудование, инструменты необходимые для производства подводных работ,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 силосные сооружения, градирни, надшахтные копры;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и тоннельные работы, устройство противофильтрационных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погрузчик горный, горнопроходческий комбайн, буровые установки горизонтально-наклонного бурения,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тоннельная опалубка, вибропогружатель, бетононасос (передвижной или стационарный), шпунтовая опалубка, струбцины, оснастки, контейнера для хранения материалов, штукатурная станция, тепловые пушки, сверлильная установка,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длинномер,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(передвижной или стационарный),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универсальная опалубка, бетономешалка,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 бункер для подачи бетона, емкость для подачи раствора, стол каменщика)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грузовой автомобиль, подъемник мачтовый, автогидроподъемник)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Электростанция, оборудование для устройства наплавляемой кровли,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электроинструменты, ножницы электрические, электростеплер, перфоратор, электродрель, шуруповерт, "болгарка", электропила, шлифмашинка, отбойный молоток,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на пневмоходу, самосвал, экскаватор, бульдозер, погрузчик, длинномер,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тали),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Нивелир, теодолит, приборы для контроля качества сварных швов, газоанализатор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Промысловых и магистральных сетей нефтепроводов, газопроводов, а также магистральных сетей 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самосвал, трубоукладчик, длинномер, длинномер – плетевоз, изоляционная машина, сварочная установка)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дизельный генератор,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дозатор, уголок,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линий электропередачи с напряжением до 35кВ и до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струбцины,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отбойный молоток,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и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железнодорожных путей сообщения, сетей электроснабжения и электроосвещения предприятий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погрузчик, гидроподъемник, кабелеукладчик, бухтодержатель, длинномер, бурильно – крановая установка,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пневматическая трамбовка, грузоподъемное оборудование (лебедки), дизельный генератор, стремянка, оснастки, контейнера для хранения материалов, тепловые пушки, сверлильная установка, электроинструменты, ножницы электрические, перфоратор, электродрель, шуруповерт, "болгарка", электропила, шлифмашинка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бульдозер, самосвал, трубоукладчик, ямобур, длинномер – плетевоз, трал,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 пневматическая трамбовка,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изолировочная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самосвал, трубоукладчик, бульдозер, длинномер, длинномер – плетевоз, установка ГНБ)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оборудование для устройства кровли, насосы для перекачки воды, насосы, вибротрамбовка, виброплита, грузоподъемное оборудование (лебедки), дизельный генератор, стремянка, опалубка инвентарная,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и устройства наружного электроосвещения, внутренних систем электроосвещения и электроотопления;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автовышка, длинномер, бульдозер, кабелеукладчик, бухтодержатель, бурильно-крановая установка, экскаватор)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 газосварочный аппарат, электростанция, сварочный трансформатор,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лазы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верхние строения железнодорожных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(Бульдозер, самосвал, экскаватор, железнодорожный кран, автокран, рельсоукладчик, путеукладчик, автопогрузчик, автогрейдер, длинномер, выправочно – подбивочно – отделочная машина, платформа железнодорожная, козловой кран)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насосы, пневматическая трамбовка, грузоподъемное оборудование (лебедки), дизельный генератор,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шпалоподбойка, рихтовщик железнодорожный, домкрат железнодорожный; прибор разгонный гидравлический, станок рельсосверлильный, легкая рельсосверлильная машина, станок рельсорезный, подъемник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шаблон путевой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взлетно-посадочных полос аэродромов и вертолетных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 связанные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Гидротехническими и мелиоративными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театрально-зрелищного, образовательного, спортивного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bl>
    <w:bookmarkStart w:name="z56" w:id="26"/>
    <w:p>
      <w:pPr>
        <w:spacing w:after="0"/>
        <w:ind w:left="0"/>
        <w:jc w:val="both"/>
      </w:pPr>
      <w:r>
        <w:rPr>
          <w:rFonts w:ascii="Times New Roman"/>
          <w:b w:val="false"/>
          <w:i w:val="false"/>
          <w:color w:val="000000"/>
          <w:sz w:val="28"/>
        </w:rPr>
        <w:t>
      *при повторении одной и той же техники по подвидам работ, достаточно иметь не менее одной единицы техники</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