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12a" w14:textId="77b8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экономического развития и торговли Республики Казахстан от 6 июня 2011 года № 157 "Об утверждении Правил оценки корпоративного управления в контролируемых государством акционерных обществах"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сентября 2014 года № 23. Зарегистрирован в Министерстве юстиции Республики Казахстан 24 октября 2014 года № 9828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4 июля 2013 года «О Национальной палате предпринимателей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6 июня 2011 года № 157 «Об утверждении Правил оценки корпоративного управления в контролируемых государством акционерных обществах» (зарегистрированный в Реестре государственной регистрации нормативных правовых актов № 7047, опубликованный в газетах «Юридическая газета» от 20 июля 2011 года № 101 (2092); «Казахстанская правда» от 21 сентября 2011 года № 304 (26695)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корпоративного управления в контролируемых государством акционерных обществах,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Оценка КУ проводится уполномоченным органом по государственному планированию совместно с Национальной палатой предпринимателей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 в два года до 31 января уполномоченным органом по государственному планированию на основании информации предварительного мониторинга внедрения принципов КУ в контролируемых государством акционерных обществах и предложений Национальной палаты предпринимателей формируется перечень объектов, подлежащих мониторингу. Оценка производится выборочно, включает Объекты различных отраслей деятельности не менее 5% от общего числа акционерных обществ.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28 февраля в целях проведения мониторинга уполномоченным органом по государственному планированию направляется запрос в контролируемые государством акционерные общества для представления информации в соответствии с Правилами. Данная информация представляется акционерными обществами одновременно в уполномоченный орган по государственному планированию и Национальную палату предпринимателей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«10-1. В срок не позднее 30 календарных дней со дня получения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Национальная палата предпринимателей Республики Казахстан направляет уполномоченному органу по государственному планированию имеющиеся вопросы, требующие обсуждения при проведении оценки КУ, имеющуюся позицию по тем или иным вопросам оценки 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Уполномоченный орган по государственному планированию при проведении оценки КУ приглашает представителей Объекта для представления комментариев и обоснований с участием представителей Национальной палаты предпринимателей Республики Казахстан. Проект Оценки КУ направляется в Национальную палату предпринимателей Республики Казахстан для согласования и Объекту для информирования. Оценка КУ может уточняться в течении одного месяца в случае представления Объектом документов и обоснований.».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(Ибраев К.Б.)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