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9f34" w14:textId="ae89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недискриминационных методик уполномоченного органа, осуществляющего руководство в сферах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1 апреля 2014 года № 67-НҚ. Зарегистрирован в Министерстве юстиции Республики Казахстан 25 июля 2014 года № 9616.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приказа Министра национальной экономики РК от 16.02.2018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национальной экономики РК от 16.02.2018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bookmarkStart w:name="z69" w:id="2"/>
    <w:p>
      <w:pPr>
        <w:spacing w:after="0"/>
        <w:ind w:left="0"/>
        <w:jc w:val="both"/>
      </w:pPr>
      <w:r>
        <w:rPr>
          <w:rFonts w:ascii="Times New Roman"/>
          <w:b w:val="false"/>
          <w:i w:val="false"/>
          <w:color w:val="000000"/>
          <w:sz w:val="28"/>
        </w:rPr>
        <w:t xml:space="preserve">
      1) Недискриминационную методику расчета тарифов (цен, ставок, сборов) на регулируемые услуги подъездных путей,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0" w:id="3"/>
    <w:p>
      <w:pPr>
        <w:spacing w:after="0"/>
        <w:ind w:left="0"/>
        <w:jc w:val="both"/>
      </w:pPr>
      <w:r>
        <w:rPr>
          <w:rFonts w:ascii="Times New Roman"/>
          <w:b w:val="false"/>
          <w:i w:val="false"/>
          <w:color w:val="000000"/>
          <w:sz w:val="28"/>
        </w:rPr>
        <w:t xml:space="preserve">
      2) Недискриминационную методику расчета инвестиционного тарифа (цены, ставки сборов) на регулируемые услуги (товары, работы) субъектов естественных монополий в сфере железнодорожного транспорта, портов и аэропортов,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национальной экономики РК от 16.02.2018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Департаменту по регулированию в сфере железнодорожного транспорта, гражданской авиации и портов Агентства Республики Казахстан по регулированию естественных монополий обеспечить:</w:t>
      </w:r>
    </w:p>
    <w:bookmarkEnd w:id="4"/>
    <w:bookmarkStart w:name="z6" w:id="5"/>
    <w:p>
      <w:pPr>
        <w:spacing w:after="0"/>
        <w:ind w:left="0"/>
        <w:jc w:val="both"/>
      </w:pPr>
      <w:r>
        <w:rPr>
          <w:rFonts w:ascii="Times New Roman"/>
          <w:b w:val="false"/>
          <w:i w:val="false"/>
          <w:color w:val="000000"/>
          <w:sz w:val="28"/>
        </w:rPr>
        <w:t xml:space="preserve">
      1) в установленном законодательством порядке государственную регистрацию настоящего приказа в Министерстве юстиции Республики Казахстан; </w:t>
      </w:r>
    </w:p>
    <w:bookmarkEnd w:id="5"/>
    <w:bookmarkStart w:name="z7" w:id="6"/>
    <w:p>
      <w:pPr>
        <w:spacing w:after="0"/>
        <w:ind w:left="0"/>
        <w:jc w:val="both"/>
      </w:pPr>
      <w:r>
        <w:rPr>
          <w:rFonts w:ascii="Times New Roman"/>
          <w:b w:val="false"/>
          <w:i w:val="false"/>
          <w:color w:val="000000"/>
          <w:sz w:val="28"/>
        </w:rPr>
        <w:t xml:space="preserve">
      2) опубликование настоящего приказа на интернет-ресурсе Агентства Республики Казахстан по регулированию естественных монополий, после официального опубликования в средствах массовой информации. </w:t>
      </w:r>
    </w:p>
    <w:bookmarkEnd w:id="6"/>
    <w:bookmarkStart w:name="z8" w:id="7"/>
    <w:p>
      <w:pPr>
        <w:spacing w:after="0"/>
        <w:ind w:left="0"/>
        <w:jc w:val="both"/>
      </w:pPr>
      <w:r>
        <w:rPr>
          <w:rFonts w:ascii="Times New Roman"/>
          <w:b w:val="false"/>
          <w:i w:val="false"/>
          <w:color w:val="000000"/>
          <w:sz w:val="28"/>
        </w:rPr>
        <w:t>
      3. Департаменту административной работы Агентства Республики Казахстан по регулированию естественных монополий после государственной регистрации настоящего приказа в Министерстве юстиции Республики Казахстан:</w:t>
      </w:r>
    </w:p>
    <w:bookmarkEnd w:id="7"/>
    <w:bookmarkStart w:name="z9" w:id="8"/>
    <w:p>
      <w:pPr>
        <w:spacing w:after="0"/>
        <w:ind w:left="0"/>
        <w:jc w:val="both"/>
      </w:pPr>
      <w:r>
        <w:rPr>
          <w:rFonts w:ascii="Times New Roman"/>
          <w:b w:val="false"/>
          <w:i w:val="false"/>
          <w:color w:val="000000"/>
          <w:sz w:val="28"/>
        </w:rPr>
        <w:t>
      1) обеспечить в установленном законодательством порядке его официальное опубликование в официальных средствах массовой информации, с последующим представлением в Юридический департамент сведений об опубликовании;</w:t>
      </w:r>
    </w:p>
    <w:bookmarkEnd w:id="8"/>
    <w:bookmarkStart w:name="z10" w:id="9"/>
    <w:p>
      <w:pPr>
        <w:spacing w:after="0"/>
        <w:ind w:left="0"/>
        <w:jc w:val="both"/>
      </w:pPr>
      <w:r>
        <w:rPr>
          <w:rFonts w:ascii="Times New Roman"/>
          <w:b w:val="false"/>
          <w:i w:val="false"/>
          <w:color w:val="000000"/>
          <w:sz w:val="28"/>
        </w:rPr>
        <w:t>
      2) довести его до сведения структурных подразделений, территориальных органов Агентства Республики Казахстан по регулированию естественных монополий;</w:t>
      </w:r>
    </w:p>
    <w:bookmarkEnd w:id="9"/>
    <w:bookmarkStart w:name="z11" w:id="10"/>
    <w:p>
      <w:pPr>
        <w:spacing w:after="0"/>
        <w:ind w:left="0"/>
        <w:jc w:val="both"/>
      </w:pPr>
      <w:r>
        <w:rPr>
          <w:rFonts w:ascii="Times New Roman"/>
          <w:b w:val="false"/>
          <w:i w:val="false"/>
          <w:color w:val="000000"/>
          <w:sz w:val="28"/>
        </w:rPr>
        <w:t>
      3) в срок не превышающий десяти календарных дней направить копию в бумажном и электронном носителе для официального опубликования в Информационно-правовой системе "Әділет".</w:t>
      </w:r>
    </w:p>
    <w:bookmarkEnd w:id="10"/>
    <w:bookmarkStart w:name="z12" w:id="11"/>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А.Ж.</w:t>
      </w:r>
    </w:p>
    <w:bookmarkEnd w:id="11"/>
    <w:bookmarkStart w:name="z13"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11341"/>
        <w:gridCol w:w="959"/>
      </w:tblGrid>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транспорта </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коммуникаций</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Ж. Касымбек</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апреля 2014 год</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экономики</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бюджетного планирования</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Е. Досаев</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июня 2014 год</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от 1 апреля 2014 года № 67 - ОД</w:t>
            </w:r>
          </w:p>
        </w:tc>
      </w:tr>
    </w:tbl>
    <w:bookmarkStart w:name="z15" w:id="13"/>
    <w:p>
      <w:pPr>
        <w:spacing w:after="0"/>
        <w:ind w:left="0"/>
        <w:jc w:val="left"/>
      </w:pPr>
      <w:r>
        <w:rPr>
          <w:rFonts w:ascii="Times New Roman"/>
          <w:b/>
          <w:i w:val="false"/>
          <w:color w:val="000000"/>
        </w:rPr>
        <w:t xml:space="preserve"> Недискриминационная методика расчета тарифов (цен, ставок, сборов) на регулируемые услуги подъездных путей</w:t>
      </w:r>
    </w:p>
    <w:bookmarkEnd w:id="13"/>
    <w:p>
      <w:pPr>
        <w:spacing w:after="0"/>
        <w:ind w:left="0"/>
        <w:jc w:val="both"/>
      </w:pPr>
      <w:r>
        <w:rPr>
          <w:rFonts w:ascii="Times New Roman"/>
          <w:b w:val="false"/>
          <w:i w:val="false"/>
          <w:color w:val="ff0000"/>
          <w:sz w:val="28"/>
        </w:rPr>
        <w:t xml:space="preserve">
      Сноска. Заголовок в редакции приказа Министра национальной экономики РК от 16.02.2018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4"/>
    <w:p>
      <w:pPr>
        <w:spacing w:after="0"/>
        <w:ind w:left="0"/>
        <w:jc w:val="left"/>
      </w:pPr>
      <w:r>
        <w:rPr>
          <w:rFonts w:ascii="Times New Roman"/>
          <w:b/>
          <w:i w:val="false"/>
          <w:color w:val="000000"/>
        </w:rPr>
        <w:t xml:space="preserve"> 1. Общие положения</w:t>
      </w:r>
    </w:p>
    <w:bookmarkEnd w:id="14"/>
    <w:bookmarkStart w:name="z17" w:id="15"/>
    <w:p>
      <w:pPr>
        <w:spacing w:after="0"/>
        <w:ind w:left="0"/>
        <w:jc w:val="both"/>
      </w:pPr>
      <w:r>
        <w:rPr>
          <w:rFonts w:ascii="Times New Roman"/>
          <w:b w:val="false"/>
          <w:i w:val="false"/>
          <w:color w:val="000000"/>
          <w:sz w:val="28"/>
        </w:rPr>
        <w:t>
      1. Настоящая Недискриминационная методика расчета тарифов (цен, ставок, сборов) на регулируемые услуги подъездных путей (далее – Методика) разработана в соответствии с законами Республики Казахстан от 9 июля 1998 года "</w:t>
      </w:r>
      <w:r>
        <w:rPr>
          <w:rFonts w:ascii="Times New Roman"/>
          <w:b w:val="false"/>
          <w:i w:val="false"/>
          <w:color w:val="000000"/>
          <w:sz w:val="28"/>
        </w:rPr>
        <w:t>О естественных монополиях</w:t>
      </w:r>
      <w:r>
        <w:rPr>
          <w:rFonts w:ascii="Times New Roman"/>
          <w:b w:val="false"/>
          <w:i w:val="false"/>
          <w:color w:val="000000"/>
          <w:sz w:val="28"/>
        </w:rPr>
        <w:t>", от 8 декабря 2001 года "</w:t>
      </w:r>
      <w:r>
        <w:rPr>
          <w:rFonts w:ascii="Times New Roman"/>
          <w:b w:val="false"/>
          <w:i w:val="false"/>
          <w:color w:val="000000"/>
          <w:sz w:val="28"/>
        </w:rPr>
        <w:t>О железнодорожном транспорте</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25 апреля 2013 года № 130-ОД (зарегистрирован в Реестре государственной регистрации нормативных правовых актов за № 8480) "Об утверждении Особого порядка формирования затрат, применяемом при утверждении тарифов (цен, ставок сборов) на регулируемые услуги (товары, работы) субъектов естественных монополий" (далее – Особый порядок).</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национальной экономики РК от 16.02.2018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 Методика разработана в целях определения расчета тарифов (цен, ставок сборов) на регулируемые услуги подъездных путей.</w:t>
      </w:r>
    </w:p>
    <w:bookmarkEnd w:id="16"/>
    <w:bookmarkStart w:name="z19" w:id="17"/>
    <w:p>
      <w:pPr>
        <w:spacing w:after="0"/>
        <w:ind w:left="0"/>
        <w:jc w:val="both"/>
      </w:pPr>
      <w:r>
        <w:rPr>
          <w:rFonts w:ascii="Times New Roman"/>
          <w:b w:val="false"/>
          <w:i w:val="false"/>
          <w:color w:val="000000"/>
          <w:sz w:val="28"/>
        </w:rPr>
        <w:t>
      3. Для целей настоящей Методики применяется следующие понятия:</w:t>
      </w:r>
    </w:p>
    <w:bookmarkEnd w:id="17"/>
    <w:bookmarkStart w:name="z71" w:id="18"/>
    <w:p>
      <w:pPr>
        <w:spacing w:after="0"/>
        <w:ind w:left="0"/>
        <w:jc w:val="both"/>
      </w:pPr>
      <w:r>
        <w:rPr>
          <w:rFonts w:ascii="Times New Roman"/>
          <w:b w:val="false"/>
          <w:i w:val="false"/>
          <w:color w:val="000000"/>
          <w:sz w:val="28"/>
        </w:rPr>
        <w:t>
      вагонооборот – количество вагонов, поступивших на подъездной путь и убывших с него за определенный отчетный период (сутки, декаду, месяц, год);</w:t>
      </w:r>
    </w:p>
    <w:bookmarkEnd w:id="18"/>
    <w:bookmarkStart w:name="z72" w:id="19"/>
    <w:p>
      <w:pPr>
        <w:spacing w:after="0"/>
        <w:ind w:left="0"/>
        <w:jc w:val="both"/>
      </w:pPr>
      <w:r>
        <w:rPr>
          <w:rFonts w:ascii="Times New Roman"/>
          <w:b w:val="false"/>
          <w:i w:val="false"/>
          <w:color w:val="000000"/>
          <w:sz w:val="28"/>
        </w:rPr>
        <w:t>
      подача-уборка вагонов – операции по приему и сдаче вагонов на (с) подъездной путь;</w:t>
      </w:r>
    </w:p>
    <w:bookmarkEnd w:id="19"/>
    <w:bookmarkStart w:name="z73" w:id="20"/>
    <w:p>
      <w:pPr>
        <w:spacing w:after="0"/>
        <w:ind w:left="0"/>
        <w:jc w:val="both"/>
      </w:pPr>
      <w:r>
        <w:rPr>
          <w:rFonts w:ascii="Times New Roman"/>
          <w:b w:val="false"/>
          <w:i w:val="false"/>
          <w:color w:val="000000"/>
          <w:sz w:val="28"/>
        </w:rPr>
        <w:t>
      накатка-выкатка вагонов (контейнеров) – операции по накату и выкату вагонов (контейнеров) с (на) железнодорожного подъездного пути на (с) паромы;</w:t>
      </w:r>
    </w:p>
    <w:bookmarkEnd w:id="20"/>
    <w:bookmarkStart w:name="z74" w:id="21"/>
    <w:p>
      <w:pPr>
        <w:spacing w:after="0"/>
        <w:ind w:left="0"/>
        <w:jc w:val="both"/>
      </w:pPr>
      <w:r>
        <w:rPr>
          <w:rFonts w:ascii="Times New Roman"/>
          <w:b w:val="false"/>
          <w:i w:val="false"/>
          <w:color w:val="000000"/>
          <w:sz w:val="28"/>
        </w:rPr>
        <w:t>
      искусственные сооружения – мосты, трубы, дюкеры, сифоны, путепроводы, пешеходные мосты, тоннели, галереи, подпорные и регуляционные сооружения;</w:t>
      </w:r>
    </w:p>
    <w:bookmarkEnd w:id="21"/>
    <w:bookmarkStart w:name="z75" w:id="22"/>
    <w:p>
      <w:pPr>
        <w:spacing w:after="0"/>
        <w:ind w:left="0"/>
        <w:jc w:val="both"/>
      </w:pPr>
      <w:r>
        <w:rPr>
          <w:rFonts w:ascii="Times New Roman"/>
          <w:b w:val="false"/>
          <w:i w:val="false"/>
          <w:color w:val="000000"/>
          <w:sz w:val="28"/>
        </w:rPr>
        <w:t>
      начально-конечная часть подъездных путей – часть подъездных путей, включая путевое развитие технических станций подъездных путей и грузовых пунктов, предоставляемых для производства маневровых, погрузочно-разгрузочных и других технологических операций перевозочного процесса и для стоянки подвижного состава не связанной с перевозочным процессом;</w:t>
      </w:r>
    </w:p>
    <w:bookmarkEnd w:id="22"/>
    <w:bookmarkStart w:name="z76" w:id="23"/>
    <w:p>
      <w:pPr>
        <w:spacing w:after="0"/>
        <w:ind w:left="0"/>
        <w:jc w:val="both"/>
      </w:pPr>
      <w:r>
        <w:rPr>
          <w:rFonts w:ascii="Times New Roman"/>
          <w:b w:val="false"/>
          <w:i w:val="false"/>
          <w:color w:val="000000"/>
          <w:sz w:val="28"/>
        </w:rPr>
        <w:t>
      главная часть подъездных путей – часть подъездных путей, предоставляемая для проезда подвижного состава и определяющая дальность подачи-уборки;</w:t>
      </w:r>
    </w:p>
    <w:bookmarkEnd w:id="23"/>
    <w:bookmarkStart w:name="z77" w:id="24"/>
    <w:p>
      <w:pPr>
        <w:spacing w:after="0"/>
        <w:ind w:left="0"/>
        <w:jc w:val="both"/>
      </w:pPr>
      <w:r>
        <w:rPr>
          <w:rFonts w:ascii="Times New Roman"/>
          <w:b w:val="false"/>
          <w:i w:val="false"/>
          <w:color w:val="000000"/>
          <w:sz w:val="28"/>
        </w:rPr>
        <w:t>
      общая часть инфраструктуры подъездных путей – часть подъездных путей субъектов, используемая как для собственных нужд, так и для оказания регулируемых услуг;</w:t>
      </w:r>
    </w:p>
    <w:bookmarkEnd w:id="24"/>
    <w:bookmarkStart w:name="z78" w:id="25"/>
    <w:p>
      <w:pPr>
        <w:spacing w:after="0"/>
        <w:ind w:left="0"/>
        <w:jc w:val="both"/>
      </w:pPr>
      <w:r>
        <w:rPr>
          <w:rFonts w:ascii="Times New Roman"/>
          <w:b w:val="false"/>
          <w:i w:val="false"/>
          <w:color w:val="000000"/>
          <w:sz w:val="28"/>
        </w:rPr>
        <w:t>
      предоставление подъездного пути для стоянки подвижного состава, непредусмотренной технологическими операциями перевозочного процесса – услуга, которая предоставляется при отстое вагонов на подъездных путях, непредусмотренном технологическими операциями перевозочного процесса, то есть по заявке потребителя услуги;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 ведомство государственного органа, осуществляющего руководство в сферах естественных монополий.</w:t>
      </w:r>
    </w:p>
    <w:bookmarkStart w:name="z80" w:id="26"/>
    <w:p>
      <w:pPr>
        <w:spacing w:after="0"/>
        <w:ind w:left="0"/>
        <w:jc w:val="both"/>
      </w:pPr>
      <w:r>
        <w:rPr>
          <w:rFonts w:ascii="Times New Roman"/>
          <w:b w:val="false"/>
          <w:i w:val="false"/>
          <w:color w:val="000000"/>
          <w:sz w:val="28"/>
        </w:rPr>
        <w:t>
      Иные понятия и термины, используемые в настоящей Методике, применяются в соответствии с законодательством Республики Казахстан о естественных монополиях и о железнодорожном транспорте.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национальной экономики РК от 16.02.2018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7"/>
    <w:p>
      <w:pPr>
        <w:spacing w:after="0"/>
        <w:ind w:left="0"/>
        <w:jc w:val="left"/>
      </w:pPr>
      <w:r>
        <w:rPr>
          <w:rFonts w:ascii="Times New Roman"/>
          <w:b/>
          <w:i w:val="false"/>
          <w:color w:val="000000"/>
        </w:rPr>
        <w:t xml:space="preserve"> 2. Расчет тарифов на услуги подъездных путей</w:t>
      </w:r>
    </w:p>
    <w:bookmarkEnd w:id="27"/>
    <w:bookmarkStart w:name="z29" w:id="28"/>
    <w:p>
      <w:pPr>
        <w:spacing w:after="0"/>
        <w:ind w:left="0"/>
        <w:jc w:val="both"/>
      </w:pPr>
      <w:r>
        <w:rPr>
          <w:rFonts w:ascii="Times New Roman"/>
          <w:b w:val="false"/>
          <w:i w:val="false"/>
          <w:color w:val="000000"/>
          <w:sz w:val="28"/>
        </w:rPr>
        <w:t>
      4. При расчете тарифов на регулируемые услуги подъездных путей учитывается объем предоставляемых услуг. Объем услуг по предоставлению подъездных путей для проезда подвижного состава по путям, характеризуется количеством пропущенного по путям подвижного состава и дальностью пропуска. В объем услуги включаются объемы, как для собственного потребления, так и объемы услуг, оказываемых внешним клиентам. Объем услуги измеряется общим пробегом подвижного состава по подъездному пути в вагоно-километрах пропуска и определяется по формуле:</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68500" cy="368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услуг по предоставлению k-ого подъездного пути для проезда подвижного состава (вагоно-км пропуска по подъездным путям);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количество подачи-уборки (проездов) группы вагонов по k-му подъездному пути (или части подъездного пути основного ветвевладельца);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номер конкретной подачи-уборки (проездов) группы вагонов на дальность - </w:t>
      </w:r>
    </w:p>
    <w:p>
      <w:pPr>
        <w:spacing w:after="0"/>
        <w:ind w:left="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55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подвижного состава в </w:t>
      </w:r>
      <w:r>
        <w:rPr>
          <w:rFonts w:ascii="Times New Roman"/>
          <w:b w:val="false"/>
          <w:i/>
          <w:color w:val="000000"/>
          <w:sz w:val="28"/>
        </w:rPr>
        <w:t>i</w:t>
      </w:r>
      <w:r>
        <w:rPr>
          <w:rFonts w:ascii="Times New Roman"/>
          <w:b w:val="false"/>
          <w:i w:val="false"/>
          <w:color w:val="000000"/>
          <w:sz w:val="28"/>
        </w:rPr>
        <w:t xml:space="preserve"> - й подаче-уборке группе вагонов, проследовавший (туда и обратно) по k-му подъездному пути (или части подъездного пути основного ветвевладельца) за расчетный период (вагон);</w:t>
      </w:r>
      <w:r>
        <w:br/>
      </w:r>
      <w:r>
        <w:rPr>
          <w:rFonts w:ascii="Times New Roman"/>
          <w:b w:val="false"/>
          <w:i w:val="false"/>
          <w:color w:val="000000"/>
          <w:sz w:val="28"/>
        </w:rPr>
        <w:t>
</w:t>
      </w:r>
      <w:r>
        <w:br/>
      </w:r>
    </w:p>
    <w:p>
      <w:pPr>
        <w:spacing w:after="0"/>
        <w:ind w:left="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расстояние проезда подвижного состава в </w:t>
      </w:r>
      <w:r>
        <w:rPr>
          <w:rFonts w:ascii="Times New Roman"/>
          <w:b w:val="false"/>
          <w:i/>
          <w:color w:val="000000"/>
          <w:sz w:val="28"/>
        </w:rPr>
        <w:t>i</w:t>
      </w:r>
      <w:r>
        <w:rPr>
          <w:rFonts w:ascii="Times New Roman"/>
          <w:b w:val="false"/>
          <w:i w:val="false"/>
          <w:color w:val="000000"/>
          <w:sz w:val="28"/>
        </w:rPr>
        <w:t xml:space="preserve"> - й подаче-уборке группы вагонов по главной части k-го пути (км).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Локомотив и другие подвижные единицы на железнодорожном ходу преобразуются в универсальные вагоны, путем деления количества осей движимой единицы на 4 (четыре).</w:t>
      </w:r>
    </w:p>
    <w:bookmarkStart w:name="z30" w:id="29"/>
    <w:p>
      <w:pPr>
        <w:spacing w:after="0"/>
        <w:ind w:left="0"/>
        <w:jc w:val="both"/>
      </w:pPr>
      <w:r>
        <w:rPr>
          <w:rFonts w:ascii="Times New Roman"/>
          <w:b w:val="false"/>
          <w:i w:val="false"/>
          <w:color w:val="000000"/>
          <w:sz w:val="28"/>
        </w:rPr>
        <w:t xml:space="preserve">
      5. Объем услуг по предоставлению подъездных путей для маневровых работ, погрузки-выгрузки и других технологических операций перевозочного процесса характеризуется количеством подвижного состава, занимающим путь и временем его переработки. Объем услуги измеряется общим временем использования подъездного пути под технологическими операциями в вагоночасах технологических операций и определяется по формуле: </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12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услуг по предоставлению k-ого подъездного пути, для маневровых работ, погрузки-выгрузки и других технологических операций перевозочного процесса (вагоно - часы технологических операций);</w:t>
      </w:r>
      <w:r>
        <w:br/>
      </w:r>
      <w:r>
        <w:rPr>
          <w:rFonts w:ascii="Times New Roman"/>
          <w:b w:val="false"/>
          <w:i w:val="false"/>
          <w:color w:val="000000"/>
          <w:sz w:val="28"/>
        </w:rPr>
        <w:t>
</w:t>
      </w:r>
      <w:r>
        <w:br/>
      </w:r>
    </w:p>
    <w:p>
      <w:pPr>
        <w:spacing w:after="0"/>
        <w:ind w:left="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3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подвижного состава в </w:t>
      </w:r>
      <w:r>
        <w:rPr>
          <w:rFonts w:ascii="Times New Roman"/>
          <w:b w:val="false"/>
          <w:i/>
          <w:color w:val="000000"/>
          <w:sz w:val="28"/>
        </w:rPr>
        <w:t>i</w:t>
      </w:r>
      <w:r>
        <w:rPr>
          <w:rFonts w:ascii="Times New Roman"/>
          <w:b w:val="false"/>
          <w:i w:val="false"/>
          <w:color w:val="000000"/>
          <w:sz w:val="28"/>
        </w:rPr>
        <w:t xml:space="preserve"> - й подаче-уборке группе вагонов, находившиеся под технологическими операциями на k-ом подъездном пути за расчетный период (вагон);</w:t>
      </w:r>
      <w:r>
        <w:br/>
      </w:r>
      <w:r>
        <w:rPr>
          <w:rFonts w:ascii="Times New Roman"/>
          <w:b w:val="false"/>
          <w:i w:val="false"/>
          <w:color w:val="000000"/>
          <w:sz w:val="28"/>
        </w:rPr>
        <w:t>
</w:t>
      </w:r>
      <w:r>
        <w:br/>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время пребывания одной подвижной единицы под технологическими операциями с </w:t>
      </w:r>
      <w:r>
        <w:rPr>
          <w:rFonts w:ascii="Times New Roman"/>
          <w:b w:val="false"/>
          <w:i/>
          <w:color w:val="000000"/>
          <w:sz w:val="28"/>
        </w:rPr>
        <w:t>i</w:t>
      </w:r>
      <w:r>
        <w:rPr>
          <w:rFonts w:ascii="Times New Roman"/>
          <w:b w:val="false"/>
          <w:i w:val="false"/>
          <w:color w:val="000000"/>
          <w:sz w:val="28"/>
        </w:rPr>
        <w:t xml:space="preserve"> -й группы вагонов на k-ом подъездном пути, (час).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случаях отсутствия данных для расчета среднего времени пребывания подвижной единицы под технологическими операциями рекомендуется оценить продолжительность технологических операций как разницу среднего времени пребывания подвижного состава на подъездных путях без учета подвижных единиц, принятых для отстоя.</w:t>
      </w:r>
    </w:p>
    <w:bookmarkStart w:name="z31" w:id="30"/>
    <w:p>
      <w:pPr>
        <w:spacing w:after="0"/>
        <w:ind w:left="0"/>
        <w:jc w:val="both"/>
      </w:pPr>
      <w:r>
        <w:rPr>
          <w:rFonts w:ascii="Times New Roman"/>
          <w:b w:val="false"/>
          <w:i w:val="false"/>
          <w:color w:val="000000"/>
          <w:sz w:val="28"/>
        </w:rPr>
        <w:t>
      6. Объем услуг по предоставлению k-го подъездного пути для стоянки подвижного состава характеризуется количеством подвижного состава, занимающим путь и временем его стоянки. Объем измеряется общим временем использования подъездного пути под подвижным составом на отстое в вагоно-часах стоянки и определяется по формуле:</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06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06600" cy="368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услуг по предоставлению k-ого подъездного пути для стоянки подвижного состава (вагоно-часы стоянки);</w:t>
      </w:r>
      <w:r>
        <w:br/>
      </w:r>
      <w:r>
        <w:rPr>
          <w:rFonts w:ascii="Times New Roman"/>
          <w:b w:val="false"/>
          <w:i w:val="false"/>
          <w:color w:val="000000"/>
          <w:sz w:val="28"/>
        </w:rPr>
        <w:t>
</w:t>
      </w:r>
      <w:r>
        <w:br/>
      </w:r>
    </w:p>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подвижного состава с </w:t>
      </w:r>
      <w:r>
        <w:rPr>
          <w:rFonts w:ascii="Times New Roman"/>
          <w:b w:val="false"/>
          <w:i/>
          <w:color w:val="000000"/>
          <w:sz w:val="28"/>
        </w:rPr>
        <w:t>i</w:t>
      </w:r>
      <w:r>
        <w:rPr>
          <w:rFonts w:ascii="Times New Roman"/>
          <w:b w:val="false"/>
          <w:i w:val="false"/>
          <w:color w:val="000000"/>
          <w:sz w:val="28"/>
        </w:rPr>
        <w:t xml:space="preserve"> -й группы вагонов, простоявших за расчетный период на k-ом подъездном пути (вагон);</w:t>
      </w:r>
      <w:r>
        <w:br/>
      </w:r>
      <w:r>
        <w:rPr>
          <w:rFonts w:ascii="Times New Roman"/>
          <w:b w:val="false"/>
          <w:i w:val="false"/>
          <w:color w:val="000000"/>
          <w:sz w:val="28"/>
        </w:rPr>
        <w:t>
</w:t>
      </w:r>
      <w:r>
        <w:br/>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стоянки каждого вагона с </w:t>
      </w:r>
      <w:r>
        <w:rPr>
          <w:rFonts w:ascii="Times New Roman"/>
          <w:b w:val="false"/>
          <w:i/>
          <w:color w:val="000000"/>
          <w:sz w:val="28"/>
        </w:rPr>
        <w:t>i</w:t>
      </w:r>
      <w:r>
        <w:rPr>
          <w:rFonts w:ascii="Times New Roman"/>
          <w:b w:val="false"/>
          <w:i w:val="false"/>
          <w:color w:val="000000"/>
          <w:sz w:val="28"/>
        </w:rPr>
        <w:t xml:space="preserve"> -й группы на k-ом подъездном пути (час).</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7. При расчете тарифов на регулируемые услуги за базу принимается планируемый объем услуг по предоставлению в пользование общего количества подъездных путей Субъекта, подтвержденный заключенными договорами с потребителями данных услуг.</w:t>
      </w:r>
    </w:p>
    <w:bookmarkEnd w:id="31"/>
    <w:p>
      <w:pPr>
        <w:spacing w:after="0"/>
        <w:ind w:left="0"/>
        <w:jc w:val="both"/>
      </w:pPr>
      <w:r>
        <w:rPr>
          <w:rFonts w:ascii="Times New Roman"/>
          <w:b w:val="false"/>
          <w:i w:val="false"/>
          <w:color w:val="000000"/>
          <w:sz w:val="28"/>
        </w:rPr>
        <w:t>
      В случае изменения объемов регулируемых услуг, за базу принимается фактический объем оказанных регулируемых услуг за четыре законченных квартала, предшествующие подаче заявки, или за предыдущий календарный год.</w:t>
      </w:r>
    </w:p>
    <w:bookmarkStart w:name="z33" w:id="32"/>
    <w:p>
      <w:pPr>
        <w:spacing w:after="0"/>
        <w:ind w:left="0"/>
        <w:jc w:val="both"/>
      </w:pPr>
      <w:r>
        <w:rPr>
          <w:rFonts w:ascii="Times New Roman"/>
          <w:b w:val="false"/>
          <w:i w:val="false"/>
          <w:color w:val="000000"/>
          <w:sz w:val="28"/>
        </w:rPr>
        <w:t xml:space="preserve">
      8. В случае снижения объемов оказанных регулируемых услуг, ветвевладелец должен представить обосновывающие и подтверждающие материалы. </w:t>
      </w:r>
    </w:p>
    <w:bookmarkEnd w:id="32"/>
    <w:bookmarkStart w:name="z34" w:id="33"/>
    <w:p>
      <w:pPr>
        <w:spacing w:after="0"/>
        <w:ind w:left="0"/>
        <w:jc w:val="both"/>
      </w:pPr>
      <w:r>
        <w:rPr>
          <w:rFonts w:ascii="Times New Roman"/>
          <w:b w:val="false"/>
          <w:i w:val="false"/>
          <w:color w:val="000000"/>
          <w:sz w:val="28"/>
        </w:rPr>
        <w:t>
      9. Тарифный доход по услугам k-го подъездного пути по предоставлению в пользование рассчитывается по следующей формуле:</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27200" cy="406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тарифный доход по услугам k-го подъездного пути по предоставлению в пользование;</w:t>
      </w:r>
      <w:r>
        <w:br/>
      </w:r>
      <w:r>
        <w:rPr>
          <w:rFonts w:ascii="Times New Roman"/>
          <w:b w:val="false"/>
          <w:i w:val="false"/>
          <w:color w:val="000000"/>
          <w:sz w:val="28"/>
        </w:rPr>
        <w:t>
</w:t>
      </w:r>
      <w:r>
        <w:br/>
      </w:r>
    </w:p>
    <w:p>
      <w:pPr>
        <w:spacing w:after="0"/>
        <w:ind w:left="0"/>
        <w:jc w:val="both"/>
      </w:pPr>
      <w:r>
        <w:drawing>
          <wp:inline distT="0" distB="0" distL="0" distR="0">
            <wp:extent cx="292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нормативно-фактические затраты, приходящиеся на j-ую услугу k-го подъездного пути (тенге);</w:t>
      </w:r>
      <w:r>
        <w:br/>
      </w:r>
      <w:r>
        <w:rPr>
          <w:rFonts w:ascii="Times New Roman"/>
          <w:b w:val="false"/>
          <w:i w:val="false"/>
          <w:color w:val="000000"/>
          <w:sz w:val="28"/>
        </w:rPr>
        <w:t>
</w:t>
      </w:r>
      <w:r>
        <w:br/>
      </w:r>
    </w:p>
    <w:p>
      <w:pPr>
        <w:spacing w:after="0"/>
        <w:ind w:left="0"/>
        <w:jc w:val="both"/>
      </w:pP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допустимый уровень прибыли, приходящийся на j-ую услугу k-го подъездного пути (тенге).</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10. Порядок формирования затратной части тарифов состоит из трех этапов:</w:t>
      </w:r>
    </w:p>
    <w:bookmarkEnd w:id="34"/>
    <w:p>
      <w:pPr>
        <w:spacing w:after="0"/>
        <w:ind w:left="0"/>
        <w:jc w:val="both"/>
      </w:pPr>
      <w:r>
        <w:rPr>
          <w:rFonts w:ascii="Times New Roman"/>
          <w:b w:val="false"/>
          <w:i w:val="false"/>
          <w:color w:val="000000"/>
          <w:sz w:val="28"/>
        </w:rPr>
        <w:t xml:space="preserve">
      на первом этапе определяются производственные затраты ветвевладельца; </w:t>
      </w:r>
    </w:p>
    <w:p>
      <w:pPr>
        <w:spacing w:after="0"/>
        <w:ind w:left="0"/>
        <w:jc w:val="both"/>
      </w:pPr>
      <w:r>
        <w:rPr>
          <w:rFonts w:ascii="Times New Roman"/>
          <w:b w:val="false"/>
          <w:i w:val="false"/>
          <w:color w:val="000000"/>
          <w:sz w:val="28"/>
        </w:rPr>
        <w:t>
      на втором - расходы периода;</w:t>
      </w:r>
    </w:p>
    <w:p>
      <w:pPr>
        <w:spacing w:after="0"/>
        <w:ind w:left="0"/>
        <w:jc w:val="both"/>
      </w:pPr>
      <w:r>
        <w:rPr>
          <w:rFonts w:ascii="Times New Roman"/>
          <w:b w:val="false"/>
          <w:i w:val="false"/>
          <w:color w:val="000000"/>
          <w:sz w:val="28"/>
        </w:rPr>
        <w:t>
      на третьем - расходы, отнесенные на услуги подъездных путей, распределяются по видам услуг.</w:t>
      </w:r>
    </w:p>
    <w:bookmarkStart w:name="z36" w:id="35"/>
    <w:p>
      <w:pPr>
        <w:spacing w:after="0"/>
        <w:ind w:left="0"/>
        <w:jc w:val="both"/>
      </w:pPr>
      <w:r>
        <w:rPr>
          <w:rFonts w:ascii="Times New Roman"/>
          <w:b w:val="false"/>
          <w:i w:val="false"/>
          <w:color w:val="000000"/>
          <w:sz w:val="28"/>
        </w:rPr>
        <w:t>
      11. На первом этапе определяются производственные затраты. Производственные затраты по содержанию подъездного пути состоят из затрат по диспетчерскому обслуживанию подъездного пути, текущему содержанию подъездного пути, расходов на ремонты подъездного пути и стрелочных переводов, амортизацию подъездных путей и стрелочных переводов, затрат на содержание и обслуживание транспортных средств и оборудования, задействованных на обслуживании подъездного пути и другие.</w:t>
      </w:r>
    </w:p>
    <w:bookmarkEnd w:id="35"/>
    <w:p>
      <w:pPr>
        <w:spacing w:after="0"/>
        <w:ind w:left="0"/>
        <w:jc w:val="both"/>
      </w:pPr>
      <w:r>
        <w:rPr>
          <w:rFonts w:ascii="Times New Roman"/>
          <w:b w:val="false"/>
          <w:i w:val="false"/>
          <w:color w:val="000000"/>
          <w:sz w:val="28"/>
        </w:rPr>
        <w:t>
      Затраты, учитываемые при расчете тарифов на услуги подъездных путей, группируются в соответствии с их экономическим содержанием по следующим элементам: материальные затраты, затраты на оплату труда, отчисления от фонда оплаты труда, амортизация основных средств, ремонт, прочие затраты.</w:t>
      </w:r>
    </w:p>
    <w:p>
      <w:pPr>
        <w:spacing w:after="0"/>
        <w:ind w:left="0"/>
        <w:jc w:val="both"/>
      </w:pPr>
      <w:r>
        <w:rPr>
          <w:rFonts w:ascii="Times New Roman"/>
          <w:b w:val="false"/>
          <w:i w:val="false"/>
          <w:color w:val="000000"/>
          <w:sz w:val="28"/>
        </w:rPr>
        <w:t xml:space="preserve">
      Формирование затрат на материалы верхнего строения подъездного пути (рельсы, шпалы, щебень или другой балластный материал, крепежные детали (болты, гайки, прокладки, костыли), необходимые для текущего содержания фактической протяженности подъездных путей, земляного полотна, искусственных сооружений и ремонта, выполняемого хозяйственным способом, производится по следующей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9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495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16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016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материалы верхнего строения подъездного пути;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k</w:t>
      </w:r>
      <w:r>
        <w:rPr>
          <w:rFonts w:ascii="Times New Roman"/>
          <w:b w:val="false"/>
          <w:i w:val="false"/>
          <w:color w:val="000000"/>
          <w:sz w:val="28"/>
        </w:rPr>
        <w:t xml:space="preserve"> - протяженность участка подъездного пути, на котором выполняется k-тый вид работ (км (шт.));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977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норма расхода материалов на 1 км подъездных путей (единица измерения вида материала/км);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вид выполняемых работ: текущее содержание, подъемочный ремонт;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901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за единицу вида материала (тенге);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 вид материала.</w:t>
      </w:r>
    </w:p>
    <w:p>
      <w:pPr>
        <w:spacing w:after="0"/>
        <w:ind w:left="0"/>
        <w:jc w:val="both"/>
      </w:pPr>
      <w:r>
        <w:rPr>
          <w:rFonts w:ascii="Times New Roman"/>
          <w:b w:val="false"/>
          <w:i w:val="false"/>
          <w:color w:val="000000"/>
          <w:sz w:val="28"/>
        </w:rPr>
        <w:t xml:space="preserve">
      Затраты на топливо определяются на основе норм расходов горюче-смазочных материалов и расходов на содержание автотранспорта,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w:t>
      </w:r>
    </w:p>
    <w:p>
      <w:pPr>
        <w:spacing w:after="0"/>
        <w:ind w:left="0"/>
        <w:jc w:val="both"/>
      </w:pPr>
      <w:r>
        <w:rPr>
          <w:rFonts w:ascii="Times New Roman"/>
          <w:b w:val="false"/>
          <w:i w:val="false"/>
          <w:color w:val="000000"/>
          <w:sz w:val="28"/>
        </w:rPr>
        <w:t>
      Затраты на электроэнергию определяются исходя из норм расхода электроэнергии на освещение подъездного пути, производственных зданий, для питания электроприводов централизованных стрелок и с учетом тарифов (цен, ставок сборов).</w:t>
      </w:r>
    </w:p>
    <w:p>
      <w:pPr>
        <w:spacing w:after="0"/>
        <w:ind w:left="0"/>
        <w:jc w:val="both"/>
      </w:pPr>
      <w:r>
        <w:rPr>
          <w:rFonts w:ascii="Times New Roman"/>
          <w:b w:val="false"/>
          <w:i w:val="false"/>
          <w:color w:val="000000"/>
          <w:sz w:val="28"/>
        </w:rPr>
        <w:t>
      Заработная плата исчисляется исходя из тарифных ставок и должностных окладов персонала.</w:t>
      </w:r>
    </w:p>
    <w:p>
      <w:pPr>
        <w:spacing w:after="0"/>
        <w:ind w:left="0"/>
        <w:jc w:val="both"/>
      </w:pPr>
      <w:r>
        <w:rPr>
          <w:rFonts w:ascii="Times New Roman"/>
          <w:b w:val="false"/>
          <w:i w:val="false"/>
          <w:color w:val="000000"/>
          <w:sz w:val="28"/>
        </w:rPr>
        <w:t>
      К затратам на оплату труда вспомогательного и обслуживающего персонала относятся затраты на оплату труда персонала, занятого расчетами с клиентами, содержанием, обслуживанием и охраной основных средств (товарные кассиры, уборщики производственных помещений, сторожа, водители, машинисты, стропальщики).</w:t>
      </w:r>
    </w:p>
    <w:p>
      <w:pPr>
        <w:spacing w:after="0"/>
        <w:ind w:left="0"/>
        <w:jc w:val="both"/>
      </w:pPr>
      <w:r>
        <w:rPr>
          <w:rFonts w:ascii="Times New Roman"/>
          <w:b w:val="false"/>
          <w:i w:val="false"/>
          <w:color w:val="000000"/>
          <w:sz w:val="28"/>
        </w:rPr>
        <w:t>
      При формировании затрат на оплату труда не учитывается численность персонала, занятого капитальным ремонтом, приводящим к увеличению стоимости основных средств.</w:t>
      </w:r>
    </w:p>
    <w:p>
      <w:pPr>
        <w:spacing w:after="0"/>
        <w:ind w:left="0"/>
        <w:jc w:val="both"/>
      </w:pPr>
      <w:r>
        <w:rPr>
          <w:rFonts w:ascii="Times New Roman"/>
          <w:b w:val="false"/>
          <w:i w:val="false"/>
          <w:color w:val="000000"/>
          <w:sz w:val="28"/>
        </w:rPr>
        <w:t>
      Затраты на выплату отчислений от фонда оплаты труда производственного, вспомогательного и обслуживающего персонала определяются в соответствии со ставками, в порядке, установленном налоговым законодательством.</w:t>
      </w:r>
    </w:p>
    <w:p>
      <w:pPr>
        <w:spacing w:after="0"/>
        <w:ind w:left="0"/>
        <w:jc w:val="both"/>
      </w:pPr>
      <w:r>
        <w:rPr>
          <w:rFonts w:ascii="Times New Roman"/>
          <w:b w:val="false"/>
          <w:i w:val="false"/>
          <w:color w:val="000000"/>
          <w:sz w:val="28"/>
        </w:rPr>
        <w:t>
      Амортизация основных средств рассчитывается исходя из их балансовой (первоначальной) стоимости по методу равномерного (прямолинейного) списания. Применение иных методов начисления амортизации согласовывается с уполномоченным органом.</w:t>
      </w:r>
    </w:p>
    <w:bookmarkStart w:name="z37" w:id="36"/>
    <w:p>
      <w:pPr>
        <w:spacing w:after="0"/>
        <w:ind w:left="0"/>
        <w:jc w:val="both"/>
      </w:pPr>
      <w:r>
        <w:rPr>
          <w:rFonts w:ascii="Times New Roman"/>
          <w:b w:val="false"/>
          <w:i w:val="false"/>
          <w:color w:val="000000"/>
          <w:sz w:val="28"/>
        </w:rPr>
        <w:t>
      12. На втором этапе формирования затратной части тарифа подъездных путей определяются расходы периода Субъекта, относимые на регулируемые услуги подъездных путей. Расходы периода, которые нельзя прямо отнести на регулируемые виды услуг Субъекта, распределяются пропорционально следующим показателям:</w:t>
      </w:r>
    </w:p>
    <w:bookmarkEnd w:id="36"/>
    <w:p>
      <w:pPr>
        <w:spacing w:after="0"/>
        <w:ind w:left="0"/>
        <w:jc w:val="both"/>
      </w:pPr>
      <w:r>
        <w:rPr>
          <w:rFonts w:ascii="Times New Roman"/>
          <w:b w:val="false"/>
          <w:i w:val="false"/>
          <w:color w:val="000000"/>
          <w:sz w:val="28"/>
        </w:rPr>
        <w:t>
      административные расходы - пропорционально фонду оплату труда производственного персонала Субъекта;</w:t>
      </w:r>
    </w:p>
    <w:p>
      <w:pPr>
        <w:spacing w:after="0"/>
        <w:ind w:left="0"/>
        <w:jc w:val="both"/>
      </w:pPr>
      <w:r>
        <w:rPr>
          <w:rFonts w:ascii="Times New Roman"/>
          <w:b w:val="false"/>
          <w:i w:val="false"/>
          <w:color w:val="000000"/>
          <w:sz w:val="28"/>
        </w:rPr>
        <w:t>
      общехозяйственные расходы - пропорционально производственным затратам по каждому виду услуг, оказываемых Субъектом;</w:t>
      </w:r>
    </w:p>
    <w:p>
      <w:pPr>
        <w:spacing w:after="0"/>
        <w:ind w:left="0"/>
        <w:jc w:val="both"/>
      </w:pPr>
      <w:r>
        <w:rPr>
          <w:rFonts w:ascii="Times New Roman"/>
          <w:b w:val="false"/>
          <w:i w:val="false"/>
          <w:color w:val="000000"/>
          <w:sz w:val="28"/>
        </w:rPr>
        <w:t>
      налоги и сборы (связанные с основными средствами), расходы на выплату вознаграждения - пропорционально остаточной стоимости активов, отнесенных на каждый вид услуг, оказываемых Субъектом.</w:t>
      </w:r>
    </w:p>
    <w:bookmarkStart w:name="z38" w:id="37"/>
    <w:p>
      <w:pPr>
        <w:spacing w:after="0"/>
        <w:ind w:left="0"/>
        <w:jc w:val="both"/>
      </w:pPr>
      <w:r>
        <w:rPr>
          <w:rFonts w:ascii="Times New Roman"/>
          <w:b w:val="false"/>
          <w:i w:val="false"/>
          <w:color w:val="000000"/>
          <w:sz w:val="28"/>
        </w:rPr>
        <w:t>
      13. При расчете затрат и размеров задействованных активов, включаемых в тарифы Субъектов, подъездные пути которых обслуживают основную деятельность и являются вспомогательной службой предприятия (предприятия промышленного, горно-химического, металлургического комплексов) используются следующие допущения:</w:t>
      </w:r>
    </w:p>
    <w:bookmarkEnd w:id="37"/>
    <w:p>
      <w:pPr>
        <w:spacing w:after="0"/>
        <w:ind w:left="0"/>
        <w:jc w:val="both"/>
      </w:pPr>
      <w:r>
        <w:rPr>
          <w:rFonts w:ascii="Times New Roman"/>
          <w:b w:val="false"/>
          <w:i w:val="false"/>
          <w:color w:val="000000"/>
          <w:sz w:val="28"/>
        </w:rPr>
        <w:t>
      характеристики инфраструктуры подъездных путей, используемых как для собственных нужд, так и для оказания услуг потребителям считаются однородными;</w:t>
      </w:r>
    </w:p>
    <w:p>
      <w:pPr>
        <w:spacing w:after="0"/>
        <w:ind w:left="0"/>
        <w:jc w:val="both"/>
      </w:pPr>
      <w:r>
        <w:rPr>
          <w:rFonts w:ascii="Times New Roman"/>
          <w:b w:val="false"/>
          <w:i w:val="false"/>
          <w:color w:val="000000"/>
          <w:sz w:val="28"/>
        </w:rPr>
        <w:t>
      границы подъездных путей, оказывающих регулируемые услуги, определяются протяженностью общей части подъездных путей, используемых как для собственных нужд, так и для потребителей услуг;</w:t>
      </w:r>
    </w:p>
    <w:p>
      <w:pPr>
        <w:spacing w:after="0"/>
        <w:ind w:left="0"/>
        <w:jc w:val="both"/>
      </w:pPr>
      <w:r>
        <w:rPr>
          <w:rFonts w:ascii="Times New Roman"/>
          <w:b w:val="false"/>
          <w:i w:val="false"/>
          <w:color w:val="000000"/>
          <w:sz w:val="28"/>
        </w:rPr>
        <w:t>
      размер задействованных активов для расчета доходной части тарифов определяется остаточной стоимостью активов общей части подъездных путей.</w:t>
      </w:r>
    </w:p>
    <w:bookmarkStart w:name="z39" w:id="38"/>
    <w:p>
      <w:pPr>
        <w:spacing w:after="0"/>
        <w:ind w:left="0"/>
        <w:jc w:val="both"/>
      </w:pPr>
      <w:r>
        <w:rPr>
          <w:rFonts w:ascii="Times New Roman"/>
          <w:b w:val="false"/>
          <w:i w:val="false"/>
          <w:color w:val="000000"/>
          <w:sz w:val="28"/>
        </w:rPr>
        <w:t xml:space="preserve">
      14. На третьем этапе определяется затратная часть тарифов по видам регулируемых услуг. Затраты распределяются между регулируемыми услугами подъездных путей пропорционально прогнозируемым объемам, приведенным к единому измерителю: </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13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2131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a = </w:t>
      </w:r>
    </w:p>
    <w:p>
      <w:pPr>
        <w:spacing w:after="0"/>
        <w:ind w:left="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b = </w:t>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Путем суммирования затрат по всем подъездным путям Субъекта определяются: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отнесенные на услуги по предоставлению главной части подъездных путей для пропуска подвижного состава (тенге);</w:t>
      </w:r>
      <w:r>
        <w:br/>
      </w:r>
      <w:r>
        <w:rPr>
          <w:rFonts w:ascii="Times New Roman"/>
          <w:b w:val="false"/>
          <w:i w:val="false"/>
          <w:color w:val="000000"/>
          <w:sz w:val="28"/>
        </w:rPr>
        <w:t>
</w:t>
      </w:r>
      <w:r>
        <w:br/>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отнесенные на услуги по предоставлению подъездных путей для технологических операций (тенге);</w:t>
      </w:r>
      <w:r>
        <w:br/>
      </w:r>
      <w:r>
        <w:rPr>
          <w:rFonts w:ascii="Times New Roman"/>
          <w:b w:val="false"/>
          <w:i w:val="false"/>
          <w:color w:val="000000"/>
          <w:sz w:val="28"/>
        </w:rPr>
        <w:t>
</w:t>
      </w:r>
      <w:r>
        <w:br/>
      </w:r>
    </w:p>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отнесенные на услуги по предоставлению начально конечной части подъездных путей для технологических операций и стоянки (тенге); </w:t>
      </w:r>
      <w:r>
        <w:br/>
      </w:r>
      <w:r>
        <w:rPr>
          <w:rFonts w:ascii="Times New Roman"/>
          <w:b w:val="false"/>
          <w:i w:val="false"/>
          <w:color w:val="000000"/>
          <w:sz w:val="28"/>
        </w:rPr>
        <w:t>
</w:t>
      </w:r>
      <w:r>
        <w:br/>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отнесенные на услуги по предоставлению подъездных путей для стоянки подвижного состава (тенге);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k</w:t>
      </w:r>
      <w:r>
        <w:rPr>
          <w:rFonts w:ascii="Times New Roman"/>
          <w:b w:val="false"/>
          <w:i w:val="false"/>
          <w:color w:val="000000"/>
          <w:sz w:val="28"/>
        </w:rPr>
        <w:t>- затраты, отнесенные на k-ый подъездной путь по предоставлению в пользование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w:t>
      </w:r>
      <w:r>
        <w:rPr>
          <w:rFonts w:ascii="Times New Roman"/>
          <w:b w:val="false"/>
          <w:i/>
          <w:color w:val="000000"/>
          <w:sz w:val="28"/>
        </w:rPr>
        <w:t>I</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2</w:t>
      </w:r>
      <w:r>
        <w:rPr>
          <w:rFonts w:ascii="Times New Roman"/>
          <w:b w:val="false"/>
          <w:i w:val="false"/>
          <w:color w:val="000000"/>
          <w:sz w:val="28"/>
        </w:rPr>
        <w:t xml:space="preserve"> - общая развернутая длина подъездных путей (км.),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I - общая развернутая длина подъездных путей (км.);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I </w:t>
      </w:r>
      <w:r>
        <w:rPr>
          <w:rFonts w:ascii="Times New Roman"/>
          <w:b w:val="false"/>
          <w:i w:val="false"/>
          <w:color w:val="000000"/>
          <w:sz w:val="28"/>
        </w:rPr>
        <w:t>- развернутая длина главной части подъездных путей (км);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w:t>
      </w:r>
      <w:r>
        <w:rPr>
          <w:rFonts w:ascii="Times New Roman"/>
          <w:b w:val="false"/>
          <w:i w:val="false"/>
          <w:color w:val="000000"/>
          <w:sz w:val="28"/>
        </w:rPr>
        <w:t xml:space="preserve"> - развернутая длина начально-конечной части подъездных путей (км.);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2</w:t>
      </w:r>
      <w:r>
        <w:rPr>
          <w:rFonts w:ascii="Times New Roman"/>
          <w:b w:val="false"/>
          <w:i w:val="false"/>
          <w:color w:val="000000"/>
          <w:sz w:val="28"/>
        </w:rPr>
        <w:t xml:space="preserve"> - объем услуг по предоставлению k-ого подъездного пути, для маневровых работ, погрузки-выгрузки и других технологических операций перевозочного процесса (вагоно-часы технологических операций);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услуг по предоставлению k-ого подъездного пути для стоянки подвижного состава (вагоно-часы стоянки).</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xml:space="preserve">
      15. Совокупная прибыль, включаемая в тариф на услуги подъездных путей Субъекта, определяется на основе стоимости задействованных активов и ставки прибыли на регулируемую базу задействованных активов и в соответствии с Инструкцией по расчету ставки прибыли на регулируемую базу задействованных активов субъектов естественной монополии, оказывающих услуги магистральной железнодорожной сети и подъездных путей,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6 декабря 2004 года № 472-ОД, зарегистрированным в Реестре государственной регистрации нормативных правовых актов за № 3300:</w:t>
      </w:r>
    </w:p>
    <w:bookmarkEnd w:id="39"/>
    <w:p>
      <w:pPr>
        <w:spacing w:after="0"/>
        <w:ind w:left="0"/>
        <w:jc w:val="both"/>
      </w:pPr>
      <w:r>
        <w:rPr>
          <w:rFonts w:ascii="Times New Roman"/>
          <w:b w:val="false"/>
          <w:i w:val="false"/>
          <w:color w:val="000000"/>
          <w:sz w:val="28"/>
        </w:rPr>
        <w:t>
      Р = A•d,</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Р - допустимый уровень прибыли Субъекта, приходящийся на деятельность подъездных путей (тенге);</w:t>
      </w:r>
    </w:p>
    <w:p>
      <w:pPr>
        <w:spacing w:after="0"/>
        <w:ind w:left="0"/>
        <w:jc w:val="both"/>
      </w:pPr>
      <w:r>
        <w:rPr>
          <w:rFonts w:ascii="Times New Roman"/>
          <w:b w:val="false"/>
          <w:i w:val="false"/>
          <w:color w:val="000000"/>
          <w:sz w:val="28"/>
        </w:rPr>
        <w:t>
      А - регулируемая база задействованных активов, приходящаяся на деятельность подъездных путей (тенге);</w:t>
      </w:r>
    </w:p>
    <w:p>
      <w:pPr>
        <w:spacing w:after="0"/>
        <w:ind w:left="0"/>
        <w:jc w:val="both"/>
      </w:pPr>
      <w:r>
        <w:rPr>
          <w:rFonts w:ascii="Times New Roman"/>
          <w:b w:val="false"/>
          <w:i w:val="false"/>
          <w:color w:val="000000"/>
          <w:sz w:val="28"/>
        </w:rPr>
        <w:t>
      d - ставка прибыли на регулируемую базу (%).</w:t>
      </w:r>
    </w:p>
    <w:bookmarkStart w:name="z41" w:id="40"/>
    <w:p>
      <w:pPr>
        <w:spacing w:after="0"/>
        <w:ind w:left="0"/>
        <w:jc w:val="both"/>
      </w:pPr>
      <w:r>
        <w:rPr>
          <w:rFonts w:ascii="Times New Roman"/>
          <w:b w:val="false"/>
          <w:i w:val="false"/>
          <w:color w:val="000000"/>
          <w:sz w:val="28"/>
        </w:rPr>
        <w:t>
      16. Для определения регулируемой базы задействованных активов ветвевладельца используется остаточная стоимость основных средств, установленная по итогам переоценки в установленном законодательством порядке.</w:t>
      </w:r>
    </w:p>
    <w:bookmarkEnd w:id="40"/>
    <w:bookmarkStart w:name="z42" w:id="41"/>
    <w:p>
      <w:pPr>
        <w:spacing w:after="0"/>
        <w:ind w:left="0"/>
        <w:jc w:val="both"/>
      </w:pPr>
      <w:r>
        <w:rPr>
          <w:rFonts w:ascii="Times New Roman"/>
          <w:b w:val="false"/>
          <w:i w:val="false"/>
          <w:color w:val="000000"/>
          <w:sz w:val="28"/>
        </w:rPr>
        <w:t>
      17. Общая прибыль по видам регулируемых услуг Субъекта определяется путем суммирования прибылей по видам регулируемых услуг для всех подъездных путей.</w:t>
      </w:r>
    </w:p>
    <w:bookmarkEnd w:id="41"/>
    <w:bookmarkStart w:name="z43" w:id="42"/>
    <w:p>
      <w:pPr>
        <w:spacing w:after="0"/>
        <w:ind w:left="0"/>
        <w:jc w:val="both"/>
      </w:pPr>
      <w:r>
        <w:rPr>
          <w:rFonts w:ascii="Times New Roman"/>
          <w:b w:val="false"/>
          <w:i w:val="false"/>
          <w:color w:val="000000"/>
          <w:sz w:val="28"/>
        </w:rPr>
        <w:t>
      18. Тариф на услуги подъездных путей по предоставлению подъездного пути для пользования рассчитывается по следующей формуле:</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74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j</w:t>
      </w:r>
      <w:r>
        <w:rPr>
          <w:rFonts w:ascii="Times New Roman"/>
          <w:b w:val="false"/>
          <w:i w:val="false"/>
          <w:color w:val="000000"/>
          <w:sz w:val="28"/>
        </w:rPr>
        <w:t xml:space="preserve"> - тариф на j-ый вид услуги по предоставлению подъездных путей (тенге);</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j</w:t>
      </w:r>
      <w:r>
        <w:rPr>
          <w:rFonts w:ascii="Times New Roman"/>
          <w:b w:val="false"/>
          <w:i w:val="false"/>
          <w:color w:val="000000"/>
          <w:sz w:val="28"/>
        </w:rPr>
        <w:t>- тарифный доход от j-oгo вида услуги по предоставлению подъездных путей (тенге);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j</w:t>
      </w:r>
      <w:r>
        <w:rPr>
          <w:rFonts w:ascii="Times New Roman"/>
          <w:b w:val="false"/>
          <w:i w:val="false"/>
          <w:color w:val="000000"/>
          <w:sz w:val="28"/>
        </w:rPr>
        <w:t>- прогнозируемый объем j-oгo вида услуги по предоставлению подъездных путей.</w:t>
      </w:r>
    </w:p>
    <w:bookmarkStart w:name="z44" w:id="43"/>
    <w:p>
      <w:pPr>
        <w:spacing w:after="0"/>
        <w:ind w:left="0"/>
        <w:jc w:val="both"/>
      </w:pPr>
      <w:r>
        <w:rPr>
          <w:rFonts w:ascii="Times New Roman"/>
          <w:b w:val="false"/>
          <w:i w:val="false"/>
          <w:color w:val="000000"/>
          <w:sz w:val="28"/>
        </w:rPr>
        <w:t xml:space="preserve">
      19. Тариф на услугу по предоставлению подъездного пути для проезда, определяется как тарифная ставка на 1 вагоно-км и стоимость оказанной услуги определяется как произведение объема услуги на тарифную ставку: </w:t>
      </w:r>
    </w:p>
    <w:bookmarkEnd w:id="43"/>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T</w:t>
      </w:r>
      <w:r>
        <w:rPr>
          <w:rFonts w:ascii="Times New Roman"/>
          <w:b w:val="false"/>
          <w:i w:val="false"/>
          <w:color w:val="000000"/>
          <w:vertAlign w:val="subscript"/>
        </w:rPr>
        <w:t>1</w:t>
      </w:r>
      <w:r>
        <w:rPr>
          <w:rFonts w:ascii="Times New Roman"/>
          <w:b w:val="false"/>
          <w:i w:val="false"/>
          <w:color w:val="000000"/>
          <w:sz w:val="28"/>
        </w:rPr>
        <w:t>•Q</w:t>
      </w:r>
      <w:r>
        <w:rPr>
          <w:rFonts w:ascii="Times New Roman"/>
          <w:b w:val="false"/>
          <w:i w:val="false"/>
          <w:color w:val="000000"/>
          <w:vertAlign w:val="subscript"/>
        </w:rPr>
        <w:t>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1 </w:t>
      </w:r>
      <w:r>
        <w:rPr>
          <w:rFonts w:ascii="Times New Roman"/>
          <w:b w:val="false"/>
          <w:i w:val="false"/>
          <w:color w:val="000000"/>
          <w:sz w:val="28"/>
        </w:rPr>
        <w:t>- стоимость оказанной услуги по предоставлению подъездного пути для проезда;</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 xml:space="preserve">1 </w:t>
      </w:r>
      <w:r>
        <w:rPr>
          <w:rFonts w:ascii="Times New Roman"/>
          <w:b w:val="false"/>
          <w:i w:val="false"/>
          <w:color w:val="000000"/>
          <w:sz w:val="28"/>
        </w:rPr>
        <w:t>- тарифная ставка на 1 вагоно-км;</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1 </w:t>
      </w:r>
      <w:r>
        <w:rPr>
          <w:rFonts w:ascii="Times New Roman"/>
          <w:b w:val="false"/>
          <w:i w:val="false"/>
          <w:color w:val="000000"/>
          <w:sz w:val="28"/>
        </w:rPr>
        <w:t>- объем услуг по предоставлению подъездного пути для проезда подвижного состава (вагоно-км пропуска по подъездным путям).</w:t>
      </w:r>
    </w:p>
    <w:p>
      <w:pPr>
        <w:spacing w:after="0"/>
        <w:ind w:left="0"/>
        <w:jc w:val="both"/>
      </w:pPr>
      <w:r>
        <w:rPr>
          <w:rFonts w:ascii="Times New Roman"/>
          <w:b w:val="false"/>
          <w:i w:val="false"/>
          <w:color w:val="000000"/>
          <w:sz w:val="28"/>
        </w:rPr>
        <w:t xml:space="preserve">
      Плата за предоставление подъездного пути для маневровых работ (операции), погрузки-выгрузки и других технологических операций перевозочного процесса рассчитывается в соответствии с частью первой настоящего пункта Методики: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2</w:t>
      </w:r>
      <w:r>
        <w:rPr>
          <w:rFonts w:ascii="Times New Roman"/>
          <w:b w:val="false"/>
          <w:i w:val="false"/>
          <w:color w:val="000000"/>
          <w:sz w:val="28"/>
        </w:rPr>
        <w:t xml:space="preserve"> = T</w:t>
      </w:r>
      <w:r>
        <w:rPr>
          <w:rFonts w:ascii="Times New Roman"/>
          <w:b w:val="false"/>
          <w:i w:val="false"/>
          <w:color w:val="000000"/>
          <w:vertAlign w:val="subscript"/>
        </w:rPr>
        <w:t>2</w:t>
      </w:r>
      <w:r>
        <w:rPr>
          <w:rFonts w:ascii="Times New Roman"/>
          <w:b w:val="false"/>
          <w:i w:val="false"/>
          <w:color w:val="000000"/>
          <w:sz w:val="28"/>
        </w:rPr>
        <w:t>•Q</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2 </w:t>
      </w:r>
      <w:r>
        <w:rPr>
          <w:rFonts w:ascii="Times New Roman"/>
          <w:b w:val="false"/>
          <w:i w:val="false"/>
          <w:color w:val="000000"/>
          <w:sz w:val="28"/>
        </w:rPr>
        <w:t>- стоимость оказанной услуги по предоставлению подъездного пути, для маневровых работ, погрузки-выгрузки и других технологических операций перевозочного процесса (вагоно-часы технологических операций);</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 xml:space="preserve">2 </w:t>
      </w:r>
      <w:r>
        <w:rPr>
          <w:rFonts w:ascii="Times New Roman"/>
          <w:b w:val="false"/>
          <w:i w:val="false"/>
          <w:color w:val="000000"/>
          <w:sz w:val="28"/>
        </w:rPr>
        <w:t>- тарифная ставка на 1 вагоно-час;</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2</w:t>
      </w:r>
      <w:r>
        <w:rPr>
          <w:rFonts w:ascii="Times New Roman"/>
          <w:b w:val="false"/>
          <w:i w:val="false"/>
          <w:color w:val="000000"/>
          <w:sz w:val="28"/>
        </w:rPr>
        <w:t>- объем услуг по предоставлению k-ого подъездного пути, для маневровых работ, погрузки-выгрузки и других технологических операций перевозочного процесса (вагоно-часы технологических операций).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от 1 апреля 2014 года № 67 - ОД</w:t>
            </w:r>
          </w:p>
        </w:tc>
      </w:tr>
    </w:tbl>
    <w:bookmarkStart w:name="z46" w:id="44"/>
    <w:p>
      <w:pPr>
        <w:spacing w:after="0"/>
        <w:ind w:left="0"/>
        <w:jc w:val="left"/>
      </w:pPr>
      <w:r>
        <w:rPr>
          <w:rFonts w:ascii="Times New Roman"/>
          <w:b/>
          <w:i w:val="false"/>
          <w:color w:val="000000"/>
        </w:rPr>
        <w:t xml:space="preserve"> Недискриминационная методика расчета инвестиционного тарифа (цены, ставки сборов) на регулируемые услуги (товары, работы) субъектов естественных монополий в сфере железнодорожного транспорта, портов и аэропортов</w:t>
      </w:r>
    </w:p>
    <w:bookmarkEnd w:id="44"/>
    <w:p>
      <w:pPr>
        <w:spacing w:after="0"/>
        <w:ind w:left="0"/>
        <w:jc w:val="both"/>
      </w:pPr>
      <w:r>
        <w:rPr>
          <w:rFonts w:ascii="Times New Roman"/>
          <w:b w:val="false"/>
          <w:i w:val="false"/>
          <w:color w:val="ff0000"/>
          <w:sz w:val="28"/>
        </w:rPr>
        <w:t xml:space="preserve">
      Сноска. Заголовок в редакции приказа Министра национальной экономики РК от 16.02.2018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 w:id="45"/>
    <w:p>
      <w:pPr>
        <w:spacing w:after="0"/>
        <w:ind w:left="0"/>
        <w:jc w:val="left"/>
      </w:pPr>
      <w:r>
        <w:rPr>
          <w:rFonts w:ascii="Times New Roman"/>
          <w:b/>
          <w:i w:val="false"/>
          <w:color w:val="000000"/>
        </w:rPr>
        <w:t xml:space="preserve"> 1. Общие положения</w:t>
      </w:r>
    </w:p>
    <w:bookmarkEnd w:id="45"/>
    <w:bookmarkStart w:name="z48" w:id="46"/>
    <w:p>
      <w:pPr>
        <w:spacing w:after="0"/>
        <w:ind w:left="0"/>
        <w:jc w:val="both"/>
      </w:pPr>
      <w:r>
        <w:rPr>
          <w:rFonts w:ascii="Times New Roman"/>
          <w:b w:val="false"/>
          <w:i w:val="false"/>
          <w:color w:val="000000"/>
          <w:sz w:val="28"/>
        </w:rPr>
        <w:t>
      1. Недискриминационная методика расчета инвестиционного тарифа (цены, ставки сборов) на регулируемые услуги (товары, работы) субъектов естественных монополий в сфере железнодорожного транспорта, портов и аэропортов (далее – Методика) разработана в соответствии с законами Республики Казахстан от 9 июля 1998 года "</w:t>
      </w:r>
      <w:r>
        <w:rPr>
          <w:rFonts w:ascii="Times New Roman"/>
          <w:b w:val="false"/>
          <w:i w:val="false"/>
          <w:color w:val="000000"/>
          <w:sz w:val="28"/>
        </w:rPr>
        <w:t>О естественных монополиях</w:t>
      </w:r>
      <w:r>
        <w:rPr>
          <w:rFonts w:ascii="Times New Roman"/>
          <w:b w:val="false"/>
          <w:i w:val="false"/>
          <w:color w:val="000000"/>
          <w:sz w:val="28"/>
        </w:rPr>
        <w:t>", от 8 декабря 2001 года "</w:t>
      </w:r>
      <w:r>
        <w:rPr>
          <w:rFonts w:ascii="Times New Roman"/>
          <w:b w:val="false"/>
          <w:i w:val="false"/>
          <w:color w:val="000000"/>
          <w:sz w:val="28"/>
        </w:rPr>
        <w:t>О железнодорожном транспорте</w:t>
      </w:r>
      <w:r>
        <w:rPr>
          <w:rFonts w:ascii="Times New Roman"/>
          <w:b w:val="false"/>
          <w:i w:val="false"/>
          <w:color w:val="000000"/>
          <w:sz w:val="28"/>
        </w:rPr>
        <w:t>", от 17 января 2002 года "</w:t>
      </w:r>
      <w:r>
        <w:rPr>
          <w:rFonts w:ascii="Times New Roman"/>
          <w:b w:val="false"/>
          <w:i w:val="false"/>
          <w:color w:val="000000"/>
          <w:sz w:val="28"/>
        </w:rPr>
        <w:t>О торговом мореплавании</w:t>
      </w:r>
      <w:r>
        <w:rPr>
          <w:rFonts w:ascii="Times New Roman"/>
          <w:b w:val="false"/>
          <w:i w:val="false"/>
          <w:color w:val="000000"/>
          <w:sz w:val="28"/>
        </w:rPr>
        <w:t>", от 8 января 2003 года "</w:t>
      </w:r>
      <w:r>
        <w:rPr>
          <w:rFonts w:ascii="Times New Roman"/>
          <w:b w:val="false"/>
          <w:i w:val="false"/>
          <w:color w:val="000000"/>
          <w:sz w:val="28"/>
        </w:rPr>
        <w:t>Об инвестициях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25 апреля 2013 года № 130-ОД (зарегистрирован в Реестре государственной регистрации нормативных правовых актов за № 8480) "Об утверждении Особого порядка формирования затрат, применяемом при утверждении тарифов (цен, ставок сборов) на регулируемые услуги (товары, работы) субъектов естественных монополий") (далее – Особый порядок) и иными актами в области использовании воздушного пространства Республики Казахстан и деятельности авиации.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национальной экономики РК от 16.02.2018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2. Методика разработана в целях определения расчета тарифов (цены, ставки сборов) на регулируемые услуги железнодорожного транспорта, портов и аэропортов.</w:t>
      </w:r>
    </w:p>
    <w:bookmarkEnd w:id="47"/>
    <w:bookmarkStart w:name="z50" w:id="48"/>
    <w:p>
      <w:pPr>
        <w:spacing w:after="0"/>
        <w:ind w:left="0"/>
        <w:jc w:val="both"/>
      </w:pPr>
      <w:r>
        <w:rPr>
          <w:rFonts w:ascii="Times New Roman"/>
          <w:b w:val="false"/>
          <w:i w:val="false"/>
          <w:color w:val="000000"/>
          <w:sz w:val="28"/>
        </w:rPr>
        <w:t>
      3. Для целей настоящей Методики применяются следующие понятия:</w:t>
      </w:r>
    </w:p>
    <w:bookmarkEnd w:id="48"/>
    <w:bookmarkStart w:name="z81" w:id="49"/>
    <w:p>
      <w:pPr>
        <w:spacing w:after="0"/>
        <w:ind w:left="0"/>
        <w:jc w:val="both"/>
      </w:pPr>
      <w:r>
        <w:rPr>
          <w:rFonts w:ascii="Times New Roman"/>
          <w:b w:val="false"/>
          <w:i w:val="false"/>
          <w:color w:val="000000"/>
          <w:sz w:val="28"/>
        </w:rPr>
        <w:t>
      период окупаемости проекта – временной интервал, в течение которого происходит полный возврат инвестиции и получение инвестиционной прибыли, согласованной инвестором и ведомством уполномоченного органа (далее – уполномоченный орган) уполномоченным органом. Для целей Методики период окупаемости проекта определяется равным эксплуатационной фазе инвестиционного проекта;</w:t>
      </w:r>
    </w:p>
    <w:bookmarkEnd w:id="49"/>
    <w:bookmarkStart w:name="z82" w:id="50"/>
    <w:p>
      <w:pPr>
        <w:spacing w:after="0"/>
        <w:ind w:left="0"/>
        <w:jc w:val="both"/>
      </w:pPr>
      <w:r>
        <w:rPr>
          <w:rFonts w:ascii="Times New Roman"/>
          <w:b w:val="false"/>
          <w:i w:val="false"/>
          <w:color w:val="000000"/>
          <w:sz w:val="28"/>
        </w:rPr>
        <w:t>
      период реализации инвестиционного проекта – временной интервал, в течение которого Субъектом реализуется согласованный и утвержденный в установленном порядке инвестиционный проект. В периоде реализации проекта выделяются две фазы: инвестиционная, в течение которой осуществляются вложение инвестиций и эксплуатационная, в течение которой субъект получает доходы от оказания услуг, связанных с использованием активов и на котором действует инвестиционный тариф (цена, ставка сбора);</w:t>
      </w:r>
    </w:p>
    <w:bookmarkEnd w:id="50"/>
    <w:bookmarkStart w:name="z83" w:id="51"/>
    <w:p>
      <w:pPr>
        <w:spacing w:after="0"/>
        <w:ind w:left="0"/>
        <w:jc w:val="both"/>
      </w:pPr>
      <w:r>
        <w:rPr>
          <w:rFonts w:ascii="Times New Roman"/>
          <w:b w:val="false"/>
          <w:i w:val="false"/>
          <w:color w:val="000000"/>
          <w:sz w:val="28"/>
        </w:rPr>
        <w:t>
      инвестиционный тарифный доход – доход субъекта естественной монополии за период реализации эксплуатационной фазы инвестиционного проекта и за каждый год реализации инвестиционного проекта до окончания периода окупаемости проекта;</w:t>
      </w:r>
    </w:p>
    <w:bookmarkEnd w:id="51"/>
    <w:bookmarkStart w:name="z84" w:id="52"/>
    <w:p>
      <w:pPr>
        <w:spacing w:after="0"/>
        <w:ind w:left="0"/>
        <w:jc w:val="both"/>
      </w:pPr>
      <w:r>
        <w:rPr>
          <w:rFonts w:ascii="Times New Roman"/>
          <w:b w:val="false"/>
          <w:i w:val="false"/>
          <w:color w:val="000000"/>
          <w:sz w:val="28"/>
        </w:rPr>
        <w:t>
      инвестиционная тарифная смета – тарифная смета, утверждаемая на период окупаемости проекта и на каждый год реализации инвестиционного проекта;</w:t>
      </w:r>
    </w:p>
    <w:bookmarkEnd w:id="52"/>
    <w:bookmarkStart w:name="z85" w:id="53"/>
    <w:p>
      <w:pPr>
        <w:spacing w:after="0"/>
        <w:ind w:left="0"/>
        <w:jc w:val="both"/>
      </w:pPr>
      <w:r>
        <w:rPr>
          <w:rFonts w:ascii="Times New Roman"/>
          <w:b w:val="false"/>
          <w:i w:val="false"/>
          <w:color w:val="000000"/>
          <w:sz w:val="28"/>
        </w:rPr>
        <w:t>
      Иные понятия и термины, используемые в Методике, применяются в соответствии с законодательством о естественных монополиях и об инвестициях.</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национальной экономики РК от 16.02.2018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4"/>
    <w:p>
      <w:pPr>
        <w:spacing w:after="0"/>
        <w:ind w:left="0"/>
        <w:jc w:val="left"/>
      </w:pPr>
      <w:r>
        <w:rPr>
          <w:rFonts w:ascii="Times New Roman"/>
          <w:b/>
          <w:i w:val="false"/>
          <w:color w:val="000000"/>
        </w:rPr>
        <w:t xml:space="preserve"> 2. Расчет инвестиционного тарифа (цены, ставки сбора)</w:t>
      </w:r>
    </w:p>
    <w:bookmarkEnd w:id="54"/>
    <w:bookmarkStart w:name="z57" w:id="55"/>
    <w:p>
      <w:pPr>
        <w:spacing w:after="0"/>
        <w:ind w:left="0"/>
        <w:jc w:val="both"/>
      </w:pPr>
      <w:r>
        <w:rPr>
          <w:rFonts w:ascii="Times New Roman"/>
          <w:b w:val="false"/>
          <w:i w:val="false"/>
          <w:color w:val="000000"/>
          <w:sz w:val="28"/>
        </w:rPr>
        <w:t>
      4. Инвестиционный тарифный доход, получаемый в течение эксплуатационной фазы инвестиционного проекта складывается из экономически обоснованных затрат, прибыли и инвестиционной надбавки и определяется по формуле:</w:t>
      </w:r>
    </w:p>
    <w:bookmarkEnd w:id="55"/>
    <w:p>
      <w:pPr>
        <w:spacing w:after="0"/>
        <w:ind w:left="0"/>
        <w:jc w:val="both"/>
      </w:pPr>
      <w:r>
        <w:rPr>
          <w:rFonts w:ascii="Times New Roman"/>
          <w:b w:val="false"/>
          <w:i w:val="false"/>
          <w:color w:val="000000"/>
          <w:sz w:val="28"/>
        </w:rPr>
        <w:t xml:space="preserve">
      </w:t>
      </w:r>
      <w:r>
        <w:rPr>
          <w:rFonts w:ascii="Times New Roman"/>
          <w:b w:val="false"/>
          <w:i/>
          <w:color w:val="000000"/>
          <w:sz w:val="28"/>
        </w:rPr>
        <w:t>ИТД = З + П + ИН</w:t>
      </w:r>
      <w:r>
        <w:rPr>
          <w:rFonts w:ascii="Times New Roman"/>
          <w:b w:val="false"/>
          <w:i w:val="false"/>
          <w:color w:val="000000"/>
          <w:sz w:val="28"/>
        </w:rPr>
        <w:t>, (за весь проект),</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ИТД</w:t>
      </w:r>
      <w:r>
        <w:rPr>
          <w:rFonts w:ascii="Times New Roman"/>
          <w:b w:val="false"/>
          <w:i w:val="false"/>
          <w:color w:val="000000"/>
          <w:sz w:val="28"/>
        </w:rPr>
        <w:t xml:space="preserve"> - инвестиционный тарифный доход, в расчете на каждый измеритель услуги (Для субъектов в сфере железнодорожного транспорта, портов и аэропортов определяется соответствующими методиками расчета тарифов в сфере железнодорожного транспорта, портов и аэропортов);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w:t>
      </w:r>
      <w:r>
        <w:rPr>
          <w:rFonts w:ascii="Times New Roman"/>
          <w:b w:val="false"/>
          <w:i w:val="false"/>
          <w:color w:val="000000"/>
          <w:sz w:val="28"/>
        </w:rPr>
        <w:t xml:space="preserve"> - эксплуатационные затраты, включая амортизационные отчисления, рассчитываемые на основе сроков службы активов и налоговые отчисления;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sz w:val="28"/>
        </w:rPr>
        <w:t xml:space="preserve"> - прибыль, определяемая в соответствии с требованиями законодательства;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w:t>
      </w:r>
      <w:r>
        <w:rPr>
          <w:rFonts w:ascii="Times New Roman"/>
          <w:b w:val="false"/>
          <w:i w:val="false"/>
          <w:color w:val="000000"/>
          <w:sz w:val="28"/>
        </w:rPr>
        <w:t xml:space="preserve"> - размер инвестиционной надбавки, согласованной с уполномоченным органом.</w:t>
      </w:r>
    </w:p>
    <w:p>
      <w:pPr>
        <w:spacing w:after="0"/>
        <w:ind w:left="0"/>
        <w:jc w:val="both"/>
      </w:pPr>
      <w:r>
        <w:rPr>
          <w:rFonts w:ascii="Times New Roman"/>
          <w:b w:val="false"/>
          <w:i w:val="false"/>
          <w:color w:val="000000"/>
          <w:sz w:val="28"/>
        </w:rPr>
        <w:t>
      На отдельный год эксплуатационной фазы инвестиционного проекта: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ИТДi = ЗЧТi + Пi + ИН/ЭФ</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номер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ИТДi</w:t>
      </w:r>
      <w:r>
        <w:rPr>
          <w:rFonts w:ascii="Times New Roman"/>
          <w:b w:val="false"/>
          <w:i w:val="false"/>
          <w:color w:val="000000"/>
          <w:sz w:val="28"/>
        </w:rPr>
        <w:t xml:space="preserve"> - инвестиционный тарифный доход в i-ый год реализации проекта в расчете по каждому измерителю услуги;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ЗЧТi</w:t>
      </w:r>
      <w:r>
        <w:rPr>
          <w:rFonts w:ascii="Times New Roman"/>
          <w:b w:val="false"/>
          <w:i w:val="false"/>
          <w:color w:val="000000"/>
          <w:sz w:val="28"/>
        </w:rPr>
        <w:t xml:space="preserve"> - эксплуатационные затраты, включая амортизационные отчисления рассчитываемые на основе сроков службы активов и относимые на </w:t>
      </w:r>
      <w:r>
        <w:rPr>
          <w:rFonts w:ascii="Times New Roman"/>
          <w:b w:val="false"/>
          <w:i/>
          <w:color w:val="000000"/>
          <w:sz w:val="28"/>
        </w:rPr>
        <w:t>i</w:t>
      </w:r>
      <w:r>
        <w:rPr>
          <w:rFonts w:ascii="Times New Roman"/>
          <w:b w:val="false"/>
          <w:i w:val="false"/>
          <w:color w:val="000000"/>
          <w:sz w:val="28"/>
        </w:rPr>
        <w:t>-ый год;</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Пi</w:t>
      </w:r>
      <w:r>
        <w:rPr>
          <w:rFonts w:ascii="Times New Roman"/>
          <w:b w:val="false"/>
          <w:i w:val="false"/>
          <w:color w:val="000000"/>
          <w:sz w:val="28"/>
        </w:rPr>
        <w:t xml:space="preserve"> - прибыль, определяемая в соответствии с законодательством, относимая на i-ый год;</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ИН </w:t>
      </w:r>
      <w:r>
        <w:rPr>
          <w:rFonts w:ascii="Times New Roman"/>
          <w:b w:val="false"/>
          <w:i w:val="false"/>
          <w:color w:val="000000"/>
          <w:sz w:val="28"/>
        </w:rPr>
        <w:t>- размер инвестиционной надбавки, согласованной с уполномоченным органом;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ЭФ</w:t>
      </w:r>
      <w:r>
        <w:rPr>
          <w:rFonts w:ascii="Times New Roman"/>
          <w:b w:val="false"/>
          <w:i w:val="false"/>
          <w:color w:val="000000"/>
          <w:sz w:val="28"/>
        </w:rPr>
        <w:t xml:space="preserve"> - продолжительность эксплуатационной фазы проекта, лет.</w:t>
      </w:r>
    </w:p>
    <w:bookmarkStart w:name="z58" w:id="56"/>
    <w:p>
      <w:pPr>
        <w:spacing w:after="0"/>
        <w:ind w:left="0"/>
        <w:jc w:val="both"/>
      </w:pPr>
      <w:r>
        <w:rPr>
          <w:rFonts w:ascii="Times New Roman"/>
          <w:b w:val="false"/>
          <w:i w:val="false"/>
          <w:color w:val="000000"/>
          <w:sz w:val="28"/>
        </w:rPr>
        <w:t>
      5. К эксплутационным затратам относятся материальные и нематериальные затраты, необходимые для оказания услуг, в том числе затраты на сырье, материалы, топливо, энергию, расходы на оплату труда, затраты на выплату вознаграждений за кредиты для реализации инвестиционного проекта, затраты на обязательные виды страхования в установленном законодательством порядке, амортизационные отчисления основных средств и нематериальных активов, рассчитанные по прямолинейному (равномерному) методу, затраты, связанные с нормативными потерями.</w:t>
      </w:r>
    </w:p>
    <w:bookmarkEnd w:id="56"/>
    <w:p>
      <w:pPr>
        <w:spacing w:after="0"/>
        <w:ind w:left="0"/>
        <w:jc w:val="both"/>
      </w:pPr>
      <w:r>
        <w:rPr>
          <w:rFonts w:ascii="Times New Roman"/>
          <w:b w:val="false"/>
          <w:i w:val="false"/>
          <w:color w:val="000000"/>
          <w:sz w:val="28"/>
        </w:rPr>
        <w:t xml:space="preserve">
      </w:t>
      </w:r>
      <w:r>
        <w:rPr>
          <w:rFonts w:ascii="Times New Roman"/>
          <w:b w:val="false"/>
          <w:i/>
          <w:color w:val="000000"/>
          <w:sz w:val="28"/>
        </w:rPr>
        <w:t>ИТД</w:t>
      </w:r>
      <w:r>
        <w:rPr>
          <w:rFonts w:ascii="Times New Roman"/>
          <w:b w:val="false"/>
          <w:i w:val="false"/>
          <w:color w:val="000000"/>
          <w:sz w:val="28"/>
        </w:rPr>
        <w:t xml:space="preserve"> = </w:t>
      </w:r>
    </w:p>
    <w:p>
      <w:pPr>
        <w:spacing w:after="0"/>
        <w:ind w:left="0"/>
        <w:jc w:val="both"/>
      </w:pPr>
      <w:r>
        <w:drawing>
          <wp:inline distT="0" distB="0" distL="0" distR="0">
            <wp:extent cx="762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62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-м год - период времени (календарный год), равный 365 календарных дней.</w:t>
      </w:r>
    </w:p>
    <w:bookmarkStart w:name="z59" w:id="57"/>
    <w:p>
      <w:pPr>
        <w:spacing w:after="0"/>
        <w:ind w:left="0"/>
        <w:jc w:val="both"/>
      </w:pPr>
      <w:r>
        <w:rPr>
          <w:rFonts w:ascii="Times New Roman"/>
          <w:b w:val="false"/>
          <w:i w:val="false"/>
          <w:color w:val="000000"/>
          <w:sz w:val="28"/>
        </w:rPr>
        <w:t xml:space="preserve">
      6. Расчет прибыли (П или Пi) осуществляется в соответствии с действующими методиками расчета тарифов в сфере железнодорожного транспорта и портов и ограничениями, предусмотренными </w:t>
      </w:r>
      <w:r>
        <w:rPr>
          <w:rFonts w:ascii="Times New Roman"/>
          <w:b w:val="false"/>
          <w:i w:val="false"/>
          <w:color w:val="000000"/>
          <w:sz w:val="28"/>
        </w:rPr>
        <w:t>Особым порядком</w:t>
      </w:r>
      <w:r>
        <w:rPr>
          <w:rFonts w:ascii="Times New Roman"/>
          <w:b w:val="false"/>
          <w:i w:val="false"/>
          <w:color w:val="000000"/>
          <w:sz w:val="28"/>
        </w:rPr>
        <w:t>.</w:t>
      </w:r>
    </w:p>
    <w:bookmarkEnd w:id="57"/>
    <w:bookmarkStart w:name="z60" w:id="58"/>
    <w:p>
      <w:pPr>
        <w:spacing w:after="0"/>
        <w:ind w:left="0"/>
        <w:jc w:val="both"/>
      </w:pPr>
      <w:r>
        <w:rPr>
          <w:rFonts w:ascii="Times New Roman"/>
          <w:b w:val="false"/>
          <w:i w:val="false"/>
          <w:color w:val="000000"/>
          <w:sz w:val="28"/>
        </w:rPr>
        <w:t>
      7. Инвестиционная надбавка (ИН) определяется по формуле:</w:t>
      </w:r>
    </w:p>
    <w:bookmarkEnd w:id="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ИН = </w:t>
      </w:r>
    </w:p>
    <w:p>
      <w:pPr>
        <w:spacing w:after="0"/>
        <w:ind w:left="0"/>
        <w:jc w:val="both"/>
      </w:pP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90500" cy="228600"/>
                    </a:xfrm>
                    <a:prstGeom prst="rect">
                      <a:avLst/>
                    </a:prstGeom>
                  </pic:spPr>
                </pic:pic>
              </a:graphicData>
            </a:graphic>
          </wp:inline>
        </w:drawing>
      </w:r>
    </w:p>
    <w:p>
      <w:pPr>
        <w:spacing w:after="0"/>
        <w:ind w:left="0"/>
        <w:jc w:val="left"/>
      </w:pPr>
      <w:r>
        <w:rPr>
          <w:rFonts w:ascii="Times New Roman"/>
          <w:b w:val="false"/>
          <w:i/>
          <w:color w:val="000000"/>
          <w:sz w:val="28"/>
        </w:rPr>
        <w:t xml:space="preserve">Амортизации + </w:t>
      </w:r>
    </w:p>
    <w:p>
      <w:pPr>
        <w:spacing w:after="0"/>
        <w:ind w:left="0"/>
        <w:jc w:val="both"/>
      </w:pP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0500" cy="228600"/>
                    </a:xfrm>
                    <a:prstGeom prst="rect">
                      <a:avLst/>
                    </a:prstGeom>
                  </pic:spPr>
                </pic:pic>
              </a:graphicData>
            </a:graphic>
          </wp:inline>
        </w:drawing>
      </w:r>
    </w:p>
    <w:p>
      <w:pPr>
        <w:spacing w:after="0"/>
        <w:ind w:left="0"/>
        <w:jc w:val="left"/>
      </w:pPr>
      <w:r>
        <w:rPr>
          <w:rFonts w:ascii="Times New Roman"/>
          <w:b w:val="false"/>
          <w:i/>
          <w:color w:val="000000"/>
          <w:sz w:val="28"/>
        </w:rPr>
        <w:t>Прибыли</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05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Амортизации</w:t>
      </w:r>
      <w:r>
        <w:rPr>
          <w:rFonts w:ascii="Times New Roman"/>
          <w:b w:val="false"/>
          <w:i w:val="false"/>
          <w:color w:val="000000"/>
          <w:sz w:val="28"/>
        </w:rPr>
        <w:t xml:space="preserve"> - разница между первоначальной стоимостью активов, созданных за счет вложенных инвестиций и амортизационными отчислениями основных средств и нематериальных активов, рассчитанными по прямолинейному (равномерному) методу начисления на эксплуатационную фазу периода окупаемости инвестиционного проекта:</w:t>
      </w:r>
      <w:r>
        <w:br/>
      </w:r>
      <w:r>
        <w:rPr>
          <w:rFonts w:ascii="Times New Roman"/>
          <w:b w:val="false"/>
          <w:i w:val="false"/>
          <w:color w:val="000000"/>
          <w:sz w:val="28"/>
        </w:rPr>
        <w:t>
</w:t>
      </w:r>
      <w:r>
        <w:br/>
      </w:r>
    </w:p>
    <w:p>
      <w:pPr>
        <w:spacing w:after="0"/>
        <w:ind w:left="0"/>
        <w:jc w:val="both"/>
      </w:pP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905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Амортизации</w:t>
      </w:r>
      <w:r>
        <w:rPr>
          <w:rFonts w:ascii="Times New Roman"/>
          <w:b w:val="false"/>
          <w:i w:val="false"/>
          <w:color w:val="000000"/>
          <w:sz w:val="28"/>
        </w:rPr>
        <w:t xml:space="preserve"> - СА -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АОi,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СА</w:t>
      </w:r>
      <w:r>
        <w:rPr>
          <w:rFonts w:ascii="Times New Roman"/>
          <w:b w:val="false"/>
          <w:i w:val="false"/>
          <w:color w:val="000000"/>
          <w:sz w:val="28"/>
        </w:rPr>
        <w:t xml:space="preserve"> - первоначальная стоимость основных средств и нематериальных активов;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AOi</w:t>
      </w:r>
      <w:r>
        <w:rPr>
          <w:rFonts w:ascii="Times New Roman"/>
          <w:b w:val="false"/>
          <w:i w:val="false"/>
          <w:color w:val="000000"/>
          <w:sz w:val="28"/>
        </w:rPr>
        <w:t xml:space="preserve"> - амортизация активов в i-м году.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905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Прибыли - разница между уровнем прибыли, предусмотренным инвестиционным проектом и согласованным уполномоченным органом и прибылью, рассчитываемой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Методики:</w:t>
      </w:r>
      <w:r>
        <w:br/>
      </w:r>
      <w:r>
        <w:rPr>
          <w:rFonts w:ascii="Times New Roman"/>
          <w:b w:val="false"/>
          <w:i w:val="false"/>
          <w:color w:val="000000"/>
          <w:sz w:val="28"/>
        </w:rPr>
        <w:t>
</w:t>
      </w:r>
      <w:r>
        <w:br/>
      </w:r>
    </w:p>
    <w:p>
      <w:pPr>
        <w:spacing w:after="0"/>
        <w:ind w:left="0"/>
        <w:jc w:val="both"/>
      </w:pP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905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Прибыли = </w:t>
      </w:r>
      <w:r>
        <w:rPr>
          <w:rFonts w:ascii="Times New Roman"/>
          <w:b w:val="false"/>
          <w:i/>
          <w:color w:val="000000"/>
          <w:sz w:val="28"/>
        </w:rPr>
        <w:t>ПП</w:t>
      </w:r>
      <w:r>
        <w:rPr>
          <w:rFonts w:ascii="Times New Roman"/>
          <w:b w:val="false"/>
          <w:i w:val="false"/>
          <w:color w:val="000000"/>
          <w:sz w:val="28"/>
        </w:rPr>
        <w:t xml:space="preserve"> -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Пi,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ПП</w:t>
      </w:r>
      <w:r>
        <w:rPr>
          <w:rFonts w:ascii="Times New Roman"/>
          <w:b w:val="false"/>
          <w:i w:val="false"/>
          <w:color w:val="000000"/>
          <w:sz w:val="28"/>
        </w:rPr>
        <w:t xml:space="preserve"> - уровень прибыли, предусмотренный инвестиционным проектом и согласованный в установленном порядке уполномоченным органом;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Пi</w:t>
      </w:r>
      <w:r>
        <w:rPr>
          <w:rFonts w:ascii="Times New Roman"/>
          <w:b w:val="false"/>
          <w:i w:val="false"/>
          <w:color w:val="000000"/>
          <w:sz w:val="28"/>
        </w:rPr>
        <w:t xml:space="preserve"> - прибыль, определяемая в соответствии с требованиями законодательства.</w:t>
      </w:r>
    </w:p>
    <w:bookmarkStart w:name="z61" w:id="59"/>
    <w:p>
      <w:pPr>
        <w:spacing w:after="0"/>
        <w:ind w:left="0"/>
        <w:jc w:val="both"/>
      </w:pPr>
      <w:r>
        <w:rPr>
          <w:rFonts w:ascii="Times New Roman"/>
          <w:b w:val="false"/>
          <w:i w:val="false"/>
          <w:color w:val="000000"/>
          <w:sz w:val="28"/>
        </w:rPr>
        <w:t>
      8. Уровень инвестиционного тарифа (цены, ставки сбора) рассчитывается по формуле:</w:t>
      </w:r>
    </w:p>
    <w:bookmarkEnd w:id="59"/>
    <w:p>
      <w:pPr>
        <w:spacing w:after="0"/>
        <w:ind w:left="0"/>
        <w:jc w:val="both"/>
      </w:pPr>
      <w:r>
        <w:rPr>
          <w:rFonts w:ascii="Times New Roman"/>
          <w:b w:val="false"/>
          <w:i w:val="false"/>
          <w:color w:val="000000"/>
          <w:sz w:val="28"/>
        </w:rPr>
        <w:t xml:space="preserve">
      </w:t>
      </w:r>
      <w:r>
        <w:rPr>
          <w:rFonts w:ascii="Times New Roman"/>
          <w:b w:val="false"/>
          <w:i/>
          <w:color w:val="000000"/>
          <w:sz w:val="28"/>
        </w:rPr>
        <w:t>HTji</w:t>
      </w:r>
      <w:r>
        <w:rPr>
          <w:rFonts w:ascii="Times New Roman"/>
          <w:b w:val="false"/>
          <w:i w:val="false"/>
          <w:color w:val="000000"/>
          <w:sz w:val="28"/>
        </w:rPr>
        <w:t xml:space="preserve"> = </w:t>
      </w:r>
      <w:r>
        <w:rPr>
          <w:rFonts w:ascii="Times New Roman"/>
          <w:b w:val="false"/>
          <w:i/>
          <w:color w:val="000000"/>
          <w:sz w:val="28"/>
        </w:rPr>
        <w:t>ИТДji/Vji</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j</w:t>
      </w:r>
      <w:r>
        <w:rPr>
          <w:rFonts w:ascii="Times New Roman"/>
          <w:b w:val="false"/>
          <w:i w:val="false"/>
          <w:color w:val="000000"/>
          <w:sz w:val="28"/>
        </w:rPr>
        <w:t xml:space="preserve"> - измеритель услуги;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номер года эксплуатационной фазы инвестиционного проекта;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ИTji</w:t>
      </w:r>
      <w:r>
        <w:rPr>
          <w:rFonts w:ascii="Times New Roman"/>
          <w:b w:val="false"/>
          <w:i w:val="false"/>
          <w:color w:val="000000"/>
          <w:sz w:val="28"/>
        </w:rPr>
        <w:t xml:space="preserve"> - инвестиционный тариф (цена, ставка сбора) по j-му измерителю услуги субъекта естественной монополии в i-ый год эксплуатационной фазы инвестиционного проекта;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ИТДji</w:t>
      </w:r>
      <w:r>
        <w:rPr>
          <w:rFonts w:ascii="Times New Roman"/>
          <w:b w:val="false"/>
          <w:i w:val="false"/>
          <w:color w:val="000000"/>
          <w:sz w:val="28"/>
        </w:rPr>
        <w:t xml:space="preserve"> - инвестиционный тарифный доход, рассчитанный на j-ый измеритель услуги субъекта естественной монополии на i-ый год эксплуатационной фазы инвестиционного проекта;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Vji</w:t>
      </w:r>
      <w:r>
        <w:rPr>
          <w:rFonts w:ascii="Times New Roman"/>
          <w:b w:val="false"/>
          <w:i w:val="false"/>
          <w:color w:val="000000"/>
          <w:sz w:val="28"/>
        </w:rPr>
        <w:t xml:space="preserve"> - объем j-ой услуги в i-ый год эксплуатационной фазы инвестиционного проекта. </w:t>
      </w:r>
      <w:r>
        <w:rPr>
          <w:rFonts w:ascii="Times New Roman"/>
          <w:b w:val="false"/>
          <w:i/>
          <w:color w:val="000000"/>
          <w:sz w:val="28"/>
        </w:rPr>
        <w:t>HTji</w:t>
      </w:r>
      <w:r>
        <w:rPr>
          <w:rFonts w:ascii="Times New Roman"/>
          <w:b w:val="false"/>
          <w:i w:val="false"/>
          <w:color w:val="000000"/>
          <w:sz w:val="28"/>
        </w:rPr>
        <w:t xml:space="preserve"> и </w:t>
      </w:r>
      <w:r>
        <w:rPr>
          <w:rFonts w:ascii="Times New Roman"/>
          <w:b w:val="false"/>
          <w:i/>
          <w:color w:val="000000"/>
          <w:sz w:val="28"/>
        </w:rPr>
        <w:t>Vji</w:t>
      </w:r>
      <w:r>
        <w:rPr>
          <w:rFonts w:ascii="Times New Roman"/>
          <w:b w:val="false"/>
          <w:i w:val="false"/>
          <w:color w:val="000000"/>
          <w:sz w:val="28"/>
        </w:rPr>
        <w:t xml:space="preserve"> определяются для каждого сегмента совокупного объема услуг, выделенного по факторам дифференциации тарифа, установленным уполномоченным органом.</w:t>
      </w:r>
    </w:p>
    <w:bookmarkStart w:name="z62" w:id="60"/>
    <w:p>
      <w:pPr>
        <w:spacing w:after="0"/>
        <w:ind w:left="0"/>
        <w:jc w:val="both"/>
      </w:pPr>
      <w:r>
        <w:rPr>
          <w:rFonts w:ascii="Times New Roman"/>
          <w:b w:val="false"/>
          <w:i w:val="false"/>
          <w:color w:val="000000"/>
          <w:sz w:val="28"/>
        </w:rPr>
        <w:t xml:space="preserve">
      9. Расчет инвестиционного тарифа осуществляется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Методике.</w:t>
      </w:r>
    </w:p>
    <w:bookmarkEnd w:id="60"/>
    <w:bookmarkStart w:name="z63" w:id="61"/>
    <w:p>
      <w:pPr>
        <w:spacing w:after="0"/>
        <w:ind w:left="0"/>
        <w:jc w:val="both"/>
      </w:pPr>
      <w:r>
        <w:rPr>
          <w:rFonts w:ascii="Times New Roman"/>
          <w:b w:val="false"/>
          <w:i w:val="false"/>
          <w:color w:val="000000"/>
          <w:sz w:val="28"/>
        </w:rPr>
        <w:t>
      10. Основой расчета инвестиционного тарифа являются:</w:t>
      </w:r>
    </w:p>
    <w:bookmarkEnd w:id="61"/>
    <w:p>
      <w:pPr>
        <w:spacing w:after="0"/>
        <w:ind w:left="0"/>
        <w:jc w:val="both"/>
      </w:pPr>
      <w:r>
        <w:rPr>
          <w:rFonts w:ascii="Times New Roman"/>
          <w:b w:val="false"/>
          <w:i w:val="false"/>
          <w:color w:val="000000"/>
          <w:sz w:val="28"/>
        </w:rPr>
        <w:t>
      1) оценка перспектив развития спроса на предоставляемые услуги на период реализации инвестиционного проекта;</w:t>
      </w:r>
    </w:p>
    <w:p>
      <w:pPr>
        <w:spacing w:after="0"/>
        <w:ind w:left="0"/>
        <w:jc w:val="both"/>
      </w:pPr>
      <w:r>
        <w:rPr>
          <w:rFonts w:ascii="Times New Roman"/>
          <w:b w:val="false"/>
          <w:i w:val="false"/>
          <w:color w:val="000000"/>
          <w:sz w:val="28"/>
        </w:rPr>
        <w:t>
      2) прогноз объемов денежных поступлений от оказания услуг в целом от инвестиционного проекта и по годам в течение периода окупаемости проекта;</w:t>
      </w:r>
    </w:p>
    <w:p>
      <w:pPr>
        <w:spacing w:after="0"/>
        <w:ind w:left="0"/>
        <w:jc w:val="both"/>
      </w:pPr>
      <w:r>
        <w:rPr>
          <w:rFonts w:ascii="Times New Roman"/>
          <w:b w:val="false"/>
          <w:i w:val="false"/>
          <w:color w:val="000000"/>
          <w:sz w:val="28"/>
        </w:rPr>
        <w:t>
      3) прогноз объема расходов, включая капитальные вложения и возмещения по процентам в целом от инвестиционного проекта и по годам в течение периода окупаемости проекта;</w:t>
      </w:r>
    </w:p>
    <w:p>
      <w:pPr>
        <w:spacing w:after="0"/>
        <w:ind w:left="0"/>
        <w:jc w:val="both"/>
      </w:pPr>
      <w:r>
        <w:rPr>
          <w:rFonts w:ascii="Times New Roman"/>
          <w:b w:val="false"/>
          <w:i w:val="false"/>
          <w:color w:val="000000"/>
          <w:sz w:val="28"/>
        </w:rPr>
        <w:t>
      4) данные о периоде окупаемости инвестиционного периода и начале эксплуатационной фазы инвестиционного проекта, согласованных с уполномоченным органом;</w:t>
      </w:r>
    </w:p>
    <w:p>
      <w:pPr>
        <w:spacing w:after="0"/>
        <w:ind w:left="0"/>
        <w:jc w:val="both"/>
      </w:pPr>
      <w:r>
        <w:rPr>
          <w:rFonts w:ascii="Times New Roman"/>
          <w:b w:val="false"/>
          <w:i w:val="false"/>
          <w:color w:val="000000"/>
          <w:sz w:val="28"/>
        </w:rPr>
        <w:t>
      5) уровень вознаграждения (прибыли) инвестора;</w:t>
      </w:r>
    </w:p>
    <w:p>
      <w:pPr>
        <w:spacing w:after="0"/>
        <w:ind w:left="0"/>
        <w:jc w:val="both"/>
      </w:pPr>
      <w:r>
        <w:rPr>
          <w:rFonts w:ascii="Times New Roman"/>
          <w:b w:val="false"/>
          <w:i w:val="false"/>
          <w:color w:val="000000"/>
          <w:sz w:val="28"/>
        </w:rPr>
        <w:t xml:space="preserve">
      6) проектная документация инвестиционного проекта; </w:t>
      </w:r>
    </w:p>
    <w:p>
      <w:pPr>
        <w:spacing w:after="0"/>
        <w:ind w:left="0"/>
        <w:jc w:val="both"/>
      </w:pPr>
      <w:r>
        <w:rPr>
          <w:rFonts w:ascii="Times New Roman"/>
          <w:b w:val="false"/>
          <w:i w:val="false"/>
          <w:color w:val="000000"/>
          <w:sz w:val="28"/>
        </w:rPr>
        <w:t>
      7) инвестиционная тарифная смета.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расчета инвестиционного</w:t>
            </w:r>
            <w:r>
              <w:br/>
            </w:r>
            <w:r>
              <w:rPr>
                <w:rFonts w:ascii="Times New Roman"/>
                <w:b w:val="false"/>
                <w:i w:val="false"/>
                <w:color w:val="000000"/>
                <w:sz w:val="20"/>
              </w:rPr>
              <w:t>тарифа (цены, ставки сборов) на</w:t>
            </w:r>
            <w:r>
              <w:br/>
            </w:r>
            <w:r>
              <w:rPr>
                <w:rFonts w:ascii="Times New Roman"/>
                <w:b w:val="false"/>
                <w:i w:val="false"/>
                <w:color w:val="000000"/>
                <w:sz w:val="20"/>
              </w:rPr>
              <w:t xml:space="preserve">регулируемые услуги  (товары, работы) </w:t>
            </w:r>
            <w:r>
              <w:br/>
            </w:r>
            <w:r>
              <w:rPr>
                <w:rFonts w:ascii="Times New Roman"/>
                <w:b w:val="false"/>
                <w:i w:val="false"/>
                <w:color w:val="000000"/>
                <w:sz w:val="20"/>
              </w:rPr>
              <w:t>субъектов естественных монополий в</w:t>
            </w:r>
            <w:r>
              <w:br/>
            </w:r>
            <w:r>
              <w:rPr>
                <w:rFonts w:ascii="Times New Roman"/>
                <w:b w:val="false"/>
                <w:i w:val="false"/>
                <w:color w:val="000000"/>
                <w:sz w:val="20"/>
              </w:rPr>
              <w:t>сфере  железнодорожного транспорта,</w:t>
            </w:r>
            <w:r>
              <w:br/>
            </w:r>
            <w:r>
              <w:rPr>
                <w:rFonts w:ascii="Times New Roman"/>
                <w:b w:val="false"/>
                <w:i w:val="false"/>
                <w:color w:val="000000"/>
                <w:sz w:val="20"/>
              </w:rPr>
              <w:t>портов и аэропортов</w:t>
            </w:r>
          </w:p>
        </w:tc>
      </w:tr>
    </w:tbl>
    <w:bookmarkStart w:name="z65" w:id="62"/>
    <w:p>
      <w:pPr>
        <w:spacing w:after="0"/>
        <w:ind w:left="0"/>
        <w:jc w:val="both"/>
      </w:pPr>
      <w:r>
        <w:rPr>
          <w:rFonts w:ascii="Times New Roman"/>
          <w:b w:val="false"/>
          <w:i w:val="false"/>
          <w:color w:val="000000"/>
          <w:sz w:val="28"/>
        </w:rPr>
        <w:t>
                                 Расчет инвестиционного тарифа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4054"/>
        <w:gridCol w:w="395"/>
        <w:gridCol w:w="667"/>
        <w:gridCol w:w="667"/>
        <w:gridCol w:w="667"/>
        <w:gridCol w:w="516"/>
        <w:gridCol w:w="712"/>
        <w:gridCol w:w="968"/>
        <w:gridCol w:w="1178"/>
        <w:gridCol w:w="87"/>
        <w:gridCol w:w="1460"/>
      </w:tblGrid>
      <w:tr>
        <w:trPr>
          <w:trHeight w:val="30" w:hRule="atLeast"/>
        </w:trPr>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4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окупаемости проекта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обычного тарифа (постинвестиционный период использования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фаза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фаза инвестиционного проекта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i-год</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n-ый 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n+m-ый год*</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Зинвест*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Зi</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Зn</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Зi</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Зn+1</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Зm+n</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амортизация активов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Аi</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Аn</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Аi</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Аn+1</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Аm+n</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Пn</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Пi</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Пn+1</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Пm+n</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905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Амортизации и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90500" cy="228600"/>
                          </a:xfrm>
                          <a:prstGeom prst="rect">
                            <a:avLst/>
                          </a:prstGeom>
                        </pic:spPr>
                      </pic:pic>
                    </a:graphicData>
                  </a:graphic>
                </wp:inline>
              </w:drawing>
            </w:r>
          </w:p>
          <w:p>
            <w:pPr>
              <w:spacing w:after="0"/>
              <w:ind w:left="0"/>
              <w:jc w:val="both"/>
            </w:pPr>
            <w:r>
              <w:rPr>
                <w:rFonts w:ascii="Times New Roman"/>
                <w:b w:val="false"/>
                <w:i w:val="false"/>
                <w:color w:val="000000"/>
                <w:sz w:val="20"/>
              </w:rPr>
              <w:t>А/n</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90500" cy="228600"/>
                          </a:xfrm>
                          <a:prstGeom prst="rect">
                            <a:avLst/>
                          </a:prstGeom>
                        </pic:spPr>
                      </pic:pic>
                    </a:graphicData>
                  </a:graphic>
                </wp:inline>
              </w:drawing>
            </w:r>
          </w:p>
          <w:p>
            <w:pPr>
              <w:spacing w:after="0"/>
              <w:ind w:left="0"/>
              <w:jc w:val="both"/>
            </w:pPr>
            <w:r>
              <w:rPr>
                <w:rFonts w:ascii="Times New Roman"/>
                <w:b w:val="false"/>
                <w:i w:val="false"/>
                <w:color w:val="000000"/>
                <w:sz w:val="20"/>
              </w:rPr>
              <w:t>А/n</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90500" cy="228600"/>
                          </a:xfrm>
                          <a:prstGeom prst="rect">
                            <a:avLst/>
                          </a:prstGeom>
                        </pic:spPr>
                      </pic:pic>
                    </a:graphicData>
                  </a:graphic>
                </wp:inline>
              </w:drawing>
            </w:r>
          </w:p>
          <w:p>
            <w:pPr>
              <w:spacing w:after="0"/>
              <w:ind w:left="0"/>
              <w:jc w:val="both"/>
            </w:pPr>
            <w:r>
              <w:rPr>
                <w:rFonts w:ascii="Times New Roman"/>
                <w:b w:val="false"/>
                <w:i w:val="false"/>
                <w:color w:val="000000"/>
                <w:sz w:val="20"/>
              </w:rPr>
              <w:t>А/n</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А/n</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90500" cy="228600"/>
                          </a:xfrm>
                          <a:prstGeom prst="rect">
                            <a:avLst/>
                          </a:prstGeom>
                        </pic:spPr>
                      </pic:pic>
                    </a:graphicData>
                  </a:graphic>
                </wp:inline>
              </w:drawing>
            </w:r>
          </w:p>
          <w:p>
            <w:pPr>
              <w:spacing w:after="0"/>
              <w:ind w:left="0"/>
              <w:jc w:val="both"/>
            </w:pPr>
            <w:r>
              <w:rPr>
                <w:rFonts w:ascii="Times New Roman"/>
                <w:b w:val="false"/>
                <w:i w:val="false"/>
                <w:color w:val="000000"/>
                <w:sz w:val="20"/>
              </w:rPr>
              <w:t>А/n</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0500" cy="228600"/>
                          </a:xfrm>
                          <a:prstGeom prst="rect">
                            <a:avLst/>
                          </a:prstGeom>
                        </pic:spPr>
                      </pic:pic>
                    </a:graphicData>
                  </a:graphic>
                </wp:inline>
              </w:drawing>
            </w:r>
          </w:p>
          <w:p>
            <w:pPr>
              <w:spacing w:after="0"/>
              <w:ind w:left="0"/>
              <w:jc w:val="both"/>
            </w:pPr>
            <w:r>
              <w:rPr>
                <w:rFonts w:ascii="Times New Roman"/>
                <w:b w:val="false"/>
                <w:i w:val="false"/>
                <w:color w:val="000000"/>
                <w:sz w:val="20"/>
              </w:rPr>
              <w:t>А=СА-</w:t>
            </w: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(Аi+n)</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0500" cy="228600"/>
                          </a:xfrm>
                          <a:prstGeom prst="rect">
                            <a:avLst/>
                          </a:prstGeom>
                        </pic:spPr>
                      </pic:pic>
                    </a:graphicData>
                  </a:graphic>
                </wp:inline>
              </w:drawing>
            </w:r>
          </w:p>
          <w:p>
            <w:pPr>
              <w:spacing w:after="0"/>
              <w:ind w:left="0"/>
              <w:jc w:val="both"/>
            </w:pPr>
            <w:r>
              <w:rPr>
                <w:rFonts w:ascii="Times New Roman"/>
                <w:b w:val="false"/>
                <w:i w:val="false"/>
                <w:color w:val="000000"/>
                <w:sz w:val="20"/>
              </w:rPr>
              <w:t>Прибыли</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ПО/n</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ПО/n</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ПО/n</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О/n</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ПО/n</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90500" cy="228600"/>
                          </a:xfrm>
                          <a:prstGeom prst="rect">
                            <a:avLst/>
                          </a:prstGeom>
                        </pic:spPr>
                      </pic:pic>
                    </a:graphicData>
                  </a:graphic>
                </wp:inline>
              </w:drawing>
            </w:r>
          </w:p>
          <w:p>
            <w:pPr>
              <w:spacing w:after="0"/>
              <w:ind w:left="0"/>
              <w:jc w:val="both"/>
            </w:pPr>
            <w:r>
              <w:rPr>
                <w:rFonts w:ascii="Times New Roman"/>
                <w:b w:val="false"/>
                <w:i w:val="false"/>
                <w:color w:val="000000"/>
                <w:sz w:val="20"/>
              </w:rPr>
              <w:t>ПО=ПП-</w:t>
            </w: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Пi</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Инвестиционный тарифный доход </w:t>
            </w:r>
            <w:r>
              <w:rPr>
                <w:rFonts w:ascii="Times New Roman"/>
                <w:b w:val="false"/>
                <w:i/>
                <w:color w:val="000000"/>
                <w:sz w:val="20"/>
              </w:rPr>
              <w:t>(строка I + строка III + строка IV + строка V)</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ИТД1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ИТДi</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ИТДn</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ИТД=</w:t>
            </w: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ИТДi</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 в натуральных измерителях</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Vn</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Vn+1</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Vm+n</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Инвестиционный тариф (цена, ставка сбора) </w:t>
            </w:r>
            <w:r>
              <w:rPr>
                <w:rFonts w:ascii="Times New Roman"/>
                <w:b w:val="false"/>
                <w:i/>
                <w:color w:val="000000"/>
                <w:sz w:val="20"/>
              </w:rPr>
              <w:t>(строка VI/строка VII)</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ИТi</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ИТn</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xml:space="preserve">
      Примечание: СА - Стоимость активов (основные средства и нематериальные активы), n - продолжительность эксплуатационной фазы инвестиционного проекта, m+n - срок службы активов, Зинвест - инвестиционные затраты, учитываемые в составе тарифа и распределяемые на эксплуатационную фазу, т.е. включаемые в </w:t>
      </w:r>
    </w:p>
    <w:bookmarkEnd w:id="63"/>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Зi согласно </w:t>
      </w:r>
      <w:r>
        <w:rPr>
          <w:rFonts w:ascii="Times New Roman"/>
          <w:b w:val="false"/>
          <w:i w:val="false"/>
          <w:color w:val="000000"/>
          <w:sz w:val="28"/>
        </w:rPr>
        <w:t>Особого порядка</w:t>
      </w:r>
      <w:r>
        <w:rPr>
          <w:rFonts w:ascii="Times New Roman"/>
          <w:b w:val="false"/>
          <w:i w:val="false"/>
          <w:color w:val="000000"/>
          <w:sz w:val="28"/>
        </w:rPr>
        <w:t>, ПП - прибыль, предусмотренная инвестиционным проектом, согласованная с уполномоченным органом.</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header.xml" Type="http://schemas.openxmlformats.org/officeDocument/2006/relationships/header" Id="rId5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