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95ec0" w14:textId="a395e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Правления Национального Банка Республики Казахстан от 26 июля 2013 года № 187 "Об утверждении Правил передачи пенсионных активов и обязательств накопительных пенсионных фондов по договорам о пенсионном обеспечении в единый накопительный пенсионный фонд"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26 февраля 2014 года № 22. Зарегистрировано в Министерстве юстиции Республики Казахстан 27 марта 2014 года № 9272. Утратило силу постановлением Правления Агентства Республики Казахстан по регулированию и развитию финансового рынка от 20 января 2021 года № 2.</w:t>
      </w:r>
    </w:p>
    <w:p>
      <w:pPr>
        <w:spacing w:after="0"/>
        <w:ind w:left="0"/>
        <w:jc w:val="both"/>
      </w:pPr>
      <w:r>
        <w:rPr>
          <w:rFonts w:ascii="Times New Roman"/>
          <w:b w:val="false"/>
          <w:i w:val="false"/>
          <w:color w:val="ff0000"/>
          <w:sz w:val="28"/>
        </w:rPr>
        <w:t xml:space="preserve">
      Сноска. Утратило силу постановлением Правления Агентства РК по регулированию и развитию финансового рынка от 20.01.2021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целях совершенствования нормативных правовых актов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июля 2013 года № 187 "Об утверждении Правил передачи пенсионных активов и обязательств накопительных пенсионных фондов по договорам о пенсионном обеспечении в единый накопительный пенсионный фонд" (зарегистрированное в Реестре государственной регистрации нормативных правовых актов под № 8671, опубликованное 25 сентября 2013 года в газете "Юридическая газета" № 144 (2519)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"3. Акционерному обществу "Единый накопительный пенсионный фонд" и накопительным пенсионным фондам не позднее трех рабочих дней по истечении сроков, предусмотренных графиком приема-передачи пенсионных активов и обязательств накопительных пенсионных фондов по договорам о пенсионном обеспечении, представить в Национальный Банк Республики Казахстан отчеты о выполнении мероприятий, предусмотренных </w:t>
      </w:r>
      <w:r>
        <w:rPr>
          <w:rFonts w:ascii="Times New Roman"/>
          <w:b w:val="false"/>
          <w:i w:val="false"/>
          <w:color w:val="000000"/>
          <w:sz w:val="28"/>
        </w:rPr>
        <w:t>пунктами 11</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Правил.";</w:t>
      </w:r>
    </w:p>
    <w:bookmarkStart w:name="z4"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передачи пенсионных активов и обязательств накопительных пенсионных фондов по договорам о пенсионном обеспечении в единый накопительный пенсионный фонд, утвержденных указанным постановлением:</w:t>
      </w:r>
    </w:p>
    <w:bookmarkEnd w:id="2"/>
    <w:bookmarkStart w:name="z5"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 страховая организация - страховая организация, имеющая лицензию уполномоченного органа по государственному регулированию, контролю и надзору финансового рынка и финансовых организаций на осуществление страховой деятельности по отрасли "страхование жизни";";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 График утверждается решением первого руководителя Национального Банка Республики Казахстан или его заместителя и направляется в адрес единого накопительного пенсионного фонда, накопительных пенсионных фондов, банка - кастодиана единого накопительного пенсионного фонда, банков - кастодианов накопительных пенсионных фондов, организаций, осуществляющих инвестиционное управление пенсионными активами, доверительного управляющего пенсионными активами единого накопительного пенсионного фонда и Центра в течение двух рабочих дней с даты его утверждения.";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"5. Изменения и (или) дополнения в график вносятся на основании решения первого руководителя Национального Банка Республики Казахстан или его заместителя и направляются в адрес лиц,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в течение двух рабочих дней с даты их внесения в график.</w:t>
      </w:r>
    </w:p>
    <w:p>
      <w:pPr>
        <w:spacing w:after="0"/>
        <w:ind w:left="0"/>
        <w:jc w:val="both"/>
      </w:pPr>
      <w:r>
        <w:rPr>
          <w:rFonts w:ascii="Times New Roman"/>
          <w:b w:val="false"/>
          <w:i w:val="false"/>
          <w:color w:val="000000"/>
          <w:sz w:val="28"/>
        </w:rPr>
        <w:t>
      6. В целях обеспечения принятия пенсионных активов и обязательств накопительных пенсионных фондов по договорам о пенсионном обеспечении единый накопительный пенсионный фонд разрабатывает план мероприятий по каждому накопительному пенсионному фонду и согласовывает его с данным накопительным пенсионным фондом.</w:t>
      </w:r>
    </w:p>
    <w:p>
      <w:pPr>
        <w:spacing w:after="0"/>
        <w:ind w:left="0"/>
        <w:jc w:val="both"/>
      </w:pPr>
      <w:r>
        <w:rPr>
          <w:rFonts w:ascii="Times New Roman"/>
          <w:b w:val="false"/>
          <w:i w:val="false"/>
          <w:color w:val="000000"/>
          <w:sz w:val="28"/>
        </w:rPr>
        <w:t>
      Не позднее восьми рабочих дней до даты начала передачи пенсионных активов и обязательств накопительного пенсионного фонда по договорам о пенсионном обеспечении, указанной в графике, план мероприятий, подписанный первыми руководителями единого накопительного пенсионного фонда, накопительного пенсионного фонда, банка - кастодиана единого накопительного пенсионного фонда, банка - кастодиана накопительного пенсионного фонда, организации, осуществляющей инвестиционное управление пенсионными активами (при наличии таковой), или лицами их замещающими, направляется в Национальный Банк Республики Казахстан на согласование.</w:t>
      </w:r>
    </w:p>
    <w:p>
      <w:pPr>
        <w:spacing w:after="0"/>
        <w:ind w:left="0"/>
        <w:jc w:val="both"/>
      </w:pPr>
      <w:r>
        <w:rPr>
          <w:rFonts w:ascii="Times New Roman"/>
          <w:b w:val="false"/>
          <w:i w:val="false"/>
          <w:color w:val="000000"/>
          <w:sz w:val="28"/>
        </w:rPr>
        <w:t>
      7. Национальный Банк Республики Казахстан рассматривает предоставленный план мероприятий и, в случае несогласия с перечнем запланированных мероприятий и (или) сроками их реализации, в срок не позднее трех рабочих дней с даты получения плана мероприятий направляет письмо с замечаниями в адрес единого накопительного пенсионного фонда и накопительного пенсионного фонда, чьи пенсионные активы и обязательства по договорам о пенсионном обеспечении, планируются к передаче в соответствии с планом мероприятий.</w:t>
      </w:r>
    </w:p>
    <w:p>
      <w:pPr>
        <w:spacing w:after="0"/>
        <w:ind w:left="0"/>
        <w:jc w:val="both"/>
      </w:pPr>
      <w:r>
        <w:rPr>
          <w:rFonts w:ascii="Times New Roman"/>
          <w:b w:val="false"/>
          <w:i w:val="false"/>
          <w:color w:val="000000"/>
          <w:sz w:val="28"/>
        </w:rPr>
        <w:t>
      План мероприятий, откорректированный с учетом замечаний Национального Банка Республики Казахстан, представляется в Национальный Банк Республики Казахстан в течение двух рабочих дней с даты получения его письма.";</w:t>
      </w:r>
    </w:p>
    <w:bookmarkStart w:name="z10"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"11) уничтожению информации, указанной в части первой </w:t>
      </w:r>
      <w:r>
        <w:rPr>
          <w:rFonts w:ascii="Times New Roman"/>
          <w:b w:val="false"/>
          <w:i w:val="false"/>
          <w:color w:val="000000"/>
          <w:sz w:val="28"/>
        </w:rPr>
        <w:t>пункта 31</w:t>
      </w:r>
      <w:r>
        <w:rPr>
          <w:rFonts w:ascii="Times New Roman"/>
          <w:b w:val="false"/>
          <w:i w:val="false"/>
          <w:color w:val="000000"/>
          <w:sz w:val="28"/>
        </w:rPr>
        <w:t xml:space="preserve"> Правил.";</w:t>
      </w:r>
    </w:p>
    <w:bookmarkStart w:name="z13"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пункта 9:</w:t>
      </w:r>
    </w:p>
    <w:bookmarkEnd w:id="5"/>
    <w:bookmarkStart w:name="z14" w:id="6"/>
    <w:p>
      <w:pPr>
        <w:spacing w:after="0"/>
        <w:ind w:left="0"/>
        <w:jc w:val="both"/>
      </w:pPr>
      <w:r>
        <w:rPr>
          <w:rFonts w:ascii="Times New Roman"/>
          <w:b w:val="false"/>
          <w:i w:val="false"/>
          <w:color w:val="000000"/>
          <w:sz w:val="28"/>
        </w:rPr>
        <w:t>
      абзац шестнадцатый изложить в следующей редакции:</w:t>
      </w:r>
    </w:p>
    <w:bookmarkEnd w:id="6"/>
    <w:p>
      <w:pPr>
        <w:spacing w:after="0"/>
        <w:ind w:left="0"/>
        <w:jc w:val="both"/>
      </w:pPr>
      <w:r>
        <w:rPr>
          <w:rFonts w:ascii="Times New Roman"/>
          <w:b w:val="false"/>
          <w:i w:val="false"/>
          <w:color w:val="000000"/>
          <w:sz w:val="28"/>
        </w:rPr>
        <w:t>
      "отчеты о структуре инвестиционного портфеля пенсионных активов (на первое число каждого отчетного месяца не менее чем за пять лет, предшествующих дате начала передачи документов и информации в единый накопительный пенсионный фонд и на дату начала срока передачи накопительным пенсионным фондом единому накопительному пенсионному фонду пенсионных активов и обязательств по договорам о пенсионном обеспечении);";</w:t>
      </w:r>
    </w:p>
    <w:bookmarkStart w:name="z15" w:id="7"/>
    <w:p>
      <w:pPr>
        <w:spacing w:after="0"/>
        <w:ind w:left="0"/>
        <w:jc w:val="both"/>
      </w:pPr>
      <w:r>
        <w:rPr>
          <w:rFonts w:ascii="Times New Roman"/>
          <w:b w:val="false"/>
          <w:i w:val="false"/>
          <w:color w:val="000000"/>
          <w:sz w:val="28"/>
        </w:rPr>
        <w:t>
      абзац восемнадцатый изложить в следующей редакции:</w:t>
      </w:r>
    </w:p>
    <w:bookmarkEnd w:id="7"/>
    <w:p>
      <w:pPr>
        <w:spacing w:after="0"/>
        <w:ind w:left="0"/>
        <w:jc w:val="both"/>
      </w:pPr>
      <w:r>
        <w:rPr>
          <w:rFonts w:ascii="Times New Roman"/>
          <w:b w:val="false"/>
          <w:i w:val="false"/>
          <w:color w:val="000000"/>
          <w:sz w:val="28"/>
        </w:rPr>
        <w:t>
      "годовой отчет по пенсионным активам, аналитические таблицы по разработке и анализу годовых отчетов и балансов по пенсионным активам (при наличии) за пять лет, предшествующих дате начала передачи документов и информации в единый накопительный пенсионный фонд (копии, заверенные накопительным пенсионным фондом);";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"10. Информация, указанная в подпункте 1) и абзаце десятом </w:t>
      </w:r>
      <w:r>
        <w:rPr>
          <w:rFonts w:ascii="Times New Roman"/>
          <w:b w:val="false"/>
          <w:i w:val="false"/>
          <w:color w:val="000000"/>
          <w:sz w:val="28"/>
        </w:rPr>
        <w:t>подпункта 4)</w:t>
      </w:r>
      <w:r>
        <w:rPr>
          <w:rFonts w:ascii="Times New Roman"/>
          <w:b w:val="false"/>
          <w:i w:val="false"/>
          <w:color w:val="000000"/>
          <w:sz w:val="28"/>
        </w:rPr>
        <w:t xml:space="preserve"> пункта 9 Правил, представляется на электронных носителях.</w:t>
      </w:r>
    </w:p>
    <w:p>
      <w:pPr>
        <w:spacing w:after="0"/>
        <w:ind w:left="0"/>
        <w:jc w:val="both"/>
      </w:pPr>
      <w:r>
        <w:rPr>
          <w:rFonts w:ascii="Times New Roman"/>
          <w:b w:val="false"/>
          <w:i w:val="false"/>
          <w:color w:val="000000"/>
          <w:sz w:val="28"/>
        </w:rPr>
        <w:t xml:space="preserve">
      Документы, указанные в </w:t>
      </w:r>
      <w:r>
        <w:rPr>
          <w:rFonts w:ascii="Times New Roman"/>
          <w:b w:val="false"/>
          <w:i w:val="false"/>
          <w:color w:val="000000"/>
          <w:sz w:val="28"/>
        </w:rPr>
        <w:t>подпунктах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9 Правил:</w:t>
      </w:r>
    </w:p>
    <w:p>
      <w:pPr>
        <w:spacing w:after="0"/>
        <w:ind w:left="0"/>
        <w:jc w:val="both"/>
      </w:pPr>
      <w:r>
        <w:rPr>
          <w:rFonts w:ascii="Times New Roman"/>
          <w:b w:val="false"/>
          <w:i w:val="false"/>
          <w:color w:val="000000"/>
          <w:sz w:val="28"/>
        </w:rPr>
        <w:t>
      представляются на бумажном носителе;</w:t>
      </w:r>
    </w:p>
    <w:p>
      <w:pPr>
        <w:spacing w:after="0"/>
        <w:ind w:left="0"/>
        <w:jc w:val="both"/>
      </w:pPr>
      <w:r>
        <w:rPr>
          <w:rFonts w:ascii="Times New Roman"/>
          <w:b w:val="false"/>
          <w:i w:val="false"/>
          <w:color w:val="000000"/>
          <w:sz w:val="28"/>
        </w:rPr>
        <w:t>
      формируются в дело по годам, пронумеровываются, прошиваются. Каждое дело не превышает 250 листов и включает в себя внутреннюю опись, которая составляется в двух экземплярах на бумажном носителе (с предоставлением единому накопительному пенсионному фонду электронного варианта), подписывается составителем с указанием его должности и даты подписания и заверяется печатью накопительного пенсионного фонда (организации, осуществляющей инвестиционное управление пенсионными активами).</w:t>
      </w:r>
    </w:p>
    <w:p>
      <w:pPr>
        <w:spacing w:after="0"/>
        <w:ind w:left="0"/>
        <w:jc w:val="both"/>
      </w:pPr>
      <w:r>
        <w:rPr>
          <w:rFonts w:ascii="Times New Roman"/>
          <w:b w:val="false"/>
          <w:i w:val="false"/>
          <w:color w:val="000000"/>
          <w:sz w:val="28"/>
        </w:rPr>
        <w:t xml:space="preserve">
      Документы, указанные в </w:t>
      </w:r>
      <w:r>
        <w:rPr>
          <w:rFonts w:ascii="Times New Roman"/>
          <w:b w:val="false"/>
          <w:i w:val="false"/>
          <w:color w:val="000000"/>
          <w:sz w:val="28"/>
        </w:rPr>
        <w:t>подпункте 2)</w:t>
      </w:r>
      <w:r>
        <w:rPr>
          <w:rFonts w:ascii="Times New Roman"/>
          <w:b w:val="false"/>
          <w:i w:val="false"/>
          <w:color w:val="000000"/>
          <w:sz w:val="28"/>
        </w:rPr>
        <w:t xml:space="preserve"> пункта 9 Правил, представляются на бумажном носителе и оформляются в соответствии с порядком, определенным планом мероприятий.</w:t>
      </w:r>
    </w:p>
    <w:p>
      <w:pPr>
        <w:spacing w:after="0"/>
        <w:ind w:left="0"/>
        <w:jc w:val="both"/>
      </w:pPr>
      <w:r>
        <w:rPr>
          <w:rFonts w:ascii="Times New Roman"/>
          <w:b w:val="false"/>
          <w:i w:val="false"/>
          <w:color w:val="000000"/>
          <w:sz w:val="28"/>
        </w:rPr>
        <w:t xml:space="preserve">
      Документы временного срока хранения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9 Правил формируются в порядке, установленном абзацем третьим части второй настоящего пункта, но без предоставления внутренней описи.";</w:t>
      </w:r>
    </w:p>
    <w:bookmarkStart w:name="z17" w:id="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13</w:t>
      </w:r>
      <w:r>
        <w:rPr>
          <w:rFonts w:ascii="Times New Roman"/>
          <w:b w:val="false"/>
          <w:i w:val="false"/>
          <w:color w:val="000000"/>
          <w:sz w:val="28"/>
        </w:rPr>
        <w:t>:</w:t>
      </w:r>
    </w:p>
    <w:bookmarkEnd w:id="8"/>
    <w:bookmarkStart w:name="z18" w:id="9"/>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подпункта 2)</w:t>
      </w:r>
      <w:r>
        <w:rPr>
          <w:rFonts w:ascii="Times New Roman"/>
          <w:b w:val="false"/>
          <w:i w:val="false"/>
          <w:color w:val="000000"/>
          <w:sz w:val="28"/>
        </w:rPr>
        <w:t xml:space="preserve"> изложить в следующей редакции:</w:t>
      </w:r>
    </w:p>
    <w:bookmarkEnd w:id="9"/>
    <w:p>
      <w:pPr>
        <w:spacing w:after="0"/>
        <w:ind w:left="0"/>
        <w:jc w:val="both"/>
      </w:pPr>
      <w:r>
        <w:rPr>
          <w:rFonts w:ascii="Times New Roman"/>
          <w:b w:val="false"/>
          <w:i w:val="false"/>
          <w:color w:val="000000"/>
          <w:sz w:val="28"/>
        </w:rPr>
        <w:t>
      "2) не позднее одного календарного дня с даты закрытия индивидуальных пенсионных счетов вкладчиков (получателей) и счетов "прочие суммы до выяснения" формирует и направляет в Центр и в единый накопительный пенсионный фонд на электронном носителе:";</w:t>
      </w:r>
    </w:p>
    <w:bookmarkStart w:name="z19" w:id="10"/>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подпункта 3)</w:t>
      </w:r>
      <w:r>
        <w:rPr>
          <w:rFonts w:ascii="Times New Roman"/>
          <w:b w:val="false"/>
          <w:i w:val="false"/>
          <w:color w:val="000000"/>
          <w:sz w:val="28"/>
        </w:rPr>
        <w:t xml:space="preserve"> изложить в следующей редакции:</w:t>
      </w:r>
    </w:p>
    <w:bookmarkEnd w:id="10"/>
    <w:p>
      <w:pPr>
        <w:spacing w:after="0"/>
        <w:ind w:left="0"/>
        <w:jc w:val="both"/>
      </w:pPr>
      <w:r>
        <w:rPr>
          <w:rFonts w:ascii="Times New Roman"/>
          <w:b w:val="false"/>
          <w:i w:val="false"/>
          <w:color w:val="000000"/>
          <w:sz w:val="28"/>
        </w:rPr>
        <w:t>
      "3) не позднее пятнадцати календарных дней с даты начала передачи единому накопительному пенсионному фонду пенсионных активов и обязательств по договорам о пенсионном обеспечении в Центр и в единый накопительный пенсионный фонд на электронном носителе:";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не позднее тридцати календарных дней с даты начала передачи единому накопительному пенсионному фонду пенсионных активов и обязательств по договорам о пенсионном обеспечении в Центр и в единый накопительный пенсионный фонд на электронном носителе информацию об операциях по индивидуальным пенсионным счетам вкладчиков (получателей), по изменению реквизитов вкладчиков (получателей), объединению индивидуальных пенсионных счетов вкладчиков (получателей), осуществленным за весь период деятельности накопительного пенсионного фонда.";</w:t>
      </w:r>
    </w:p>
    <w:bookmarkStart w:name="z21" w:id="11"/>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14</w:t>
      </w:r>
      <w:r>
        <w:rPr>
          <w:rFonts w:ascii="Times New Roman"/>
          <w:b w:val="false"/>
          <w:i w:val="false"/>
          <w:color w:val="000000"/>
          <w:sz w:val="28"/>
        </w:rPr>
        <w:t xml:space="preserve"> изложить в следующей редакции:</w:t>
      </w:r>
    </w:p>
    <w:bookmarkEnd w:id="11"/>
    <w:p>
      <w:pPr>
        <w:spacing w:after="0"/>
        <w:ind w:left="0"/>
        <w:jc w:val="both"/>
      </w:pPr>
      <w:r>
        <w:rPr>
          <w:rFonts w:ascii="Times New Roman"/>
          <w:b w:val="false"/>
          <w:i w:val="false"/>
          <w:color w:val="000000"/>
          <w:sz w:val="28"/>
        </w:rPr>
        <w:t xml:space="preserve">
      "14. Методические указания по заполнению форматов списков и информации,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9 и </w:t>
      </w:r>
      <w:r>
        <w:rPr>
          <w:rFonts w:ascii="Times New Roman"/>
          <w:b w:val="false"/>
          <w:i w:val="false"/>
          <w:color w:val="000000"/>
          <w:sz w:val="28"/>
        </w:rPr>
        <w:t>пункте 13</w:t>
      </w:r>
      <w:r>
        <w:rPr>
          <w:rFonts w:ascii="Times New Roman"/>
          <w:b w:val="false"/>
          <w:i w:val="false"/>
          <w:color w:val="000000"/>
          <w:sz w:val="28"/>
        </w:rPr>
        <w:t xml:space="preserve"> Правил, утверждаются постановлением Совета директоров Национального Банка Республики Казахстан, и направляются в адрес накопительных пенсионных фондов и Центра не позднее двух рабочих дней с даты их утверждения.";</w:t>
      </w:r>
    </w:p>
    <w:bookmarkStart w:name="z22" w:id="12"/>
    <w:p>
      <w:pPr>
        <w:spacing w:after="0"/>
        <w:ind w:left="0"/>
        <w:jc w:val="both"/>
      </w:pPr>
      <w:r>
        <w:rPr>
          <w:rFonts w:ascii="Times New Roman"/>
          <w:b w:val="false"/>
          <w:i w:val="false"/>
          <w:color w:val="000000"/>
          <w:sz w:val="28"/>
        </w:rPr>
        <w:t xml:space="preserve">
      части первую и вторую </w:t>
      </w:r>
      <w:r>
        <w:rPr>
          <w:rFonts w:ascii="Times New Roman"/>
          <w:b w:val="false"/>
          <w:i w:val="false"/>
          <w:color w:val="000000"/>
          <w:sz w:val="28"/>
        </w:rPr>
        <w:t>пункта 19</w:t>
      </w:r>
      <w:r>
        <w:rPr>
          <w:rFonts w:ascii="Times New Roman"/>
          <w:b w:val="false"/>
          <w:i w:val="false"/>
          <w:color w:val="000000"/>
          <w:sz w:val="28"/>
        </w:rPr>
        <w:t xml:space="preserve"> изложить в следующей редакции:</w:t>
      </w:r>
    </w:p>
    <w:bookmarkEnd w:id="12"/>
    <w:p>
      <w:pPr>
        <w:spacing w:after="0"/>
        <w:ind w:left="0"/>
        <w:jc w:val="both"/>
      </w:pPr>
      <w:r>
        <w:rPr>
          <w:rFonts w:ascii="Times New Roman"/>
          <w:b w:val="false"/>
          <w:i w:val="false"/>
          <w:color w:val="000000"/>
          <w:sz w:val="28"/>
        </w:rPr>
        <w:t xml:space="preserve">
      "19. Списки, указанные в </w:t>
      </w:r>
      <w:r>
        <w:rPr>
          <w:rFonts w:ascii="Times New Roman"/>
          <w:b w:val="false"/>
          <w:i w:val="false"/>
          <w:color w:val="000000"/>
          <w:sz w:val="28"/>
        </w:rPr>
        <w:t>пункте 13</w:t>
      </w:r>
      <w:r>
        <w:rPr>
          <w:rFonts w:ascii="Times New Roman"/>
          <w:b w:val="false"/>
          <w:i w:val="false"/>
          <w:color w:val="000000"/>
          <w:sz w:val="28"/>
        </w:rPr>
        <w:t xml:space="preserve"> Правил, сохраняются накопительным пенсионным фондом на электронном носителе и проверяются единым накопительным пенсионным фондом.</w:t>
      </w:r>
    </w:p>
    <w:p>
      <w:pPr>
        <w:spacing w:after="0"/>
        <w:ind w:left="0"/>
        <w:jc w:val="both"/>
      </w:pPr>
      <w:r>
        <w:rPr>
          <w:rFonts w:ascii="Times New Roman"/>
          <w:b w:val="false"/>
          <w:i w:val="false"/>
          <w:color w:val="000000"/>
          <w:sz w:val="28"/>
        </w:rPr>
        <w:t xml:space="preserve">
      После проверки представители единого накопительного пенсионного фонда в присутствии представителей накопительного пенсионного фонда и Центра делают дополнительные три копии списков, указанных в </w:t>
      </w:r>
      <w:r>
        <w:rPr>
          <w:rFonts w:ascii="Times New Roman"/>
          <w:b w:val="false"/>
          <w:i w:val="false"/>
          <w:color w:val="000000"/>
          <w:sz w:val="28"/>
        </w:rPr>
        <w:t>пункте 13</w:t>
      </w:r>
      <w:r>
        <w:rPr>
          <w:rFonts w:ascii="Times New Roman"/>
          <w:b w:val="false"/>
          <w:i w:val="false"/>
          <w:color w:val="000000"/>
          <w:sz w:val="28"/>
        </w:rPr>
        <w:t xml:space="preserve"> Правил, на электронных носителях, которые опечатываются и опломбируются и передаются по акту приема-передачи.";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"27. Акт приема-передачи информации, предусмотренной </w:t>
      </w:r>
      <w:r>
        <w:rPr>
          <w:rFonts w:ascii="Times New Roman"/>
          <w:b w:val="false"/>
          <w:i w:val="false"/>
          <w:color w:val="000000"/>
          <w:sz w:val="28"/>
        </w:rPr>
        <w:t>пунктом 25</w:t>
      </w:r>
      <w:r>
        <w:rPr>
          <w:rFonts w:ascii="Times New Roman"/>
          <w:b w:val="false"/>
          <w:i w:val="false"/>
          <w:color w:val="000000"/>
          <w:sz w:val="28"/>
        </w:rPr>
        <w:t xml:space="preserve"> Правил, содержит общую сумму пенсионных активов и обязательств на день передачи, в том числе:</w:t>
      </w:r>
    </w:p>
    <w:p>
      <w:pPr>
        <w:spacing w:after="0"/>
        <w:ind w:left="0"/>
        <w:jc w:val="both"/>
      </w:pPr>
      <w:r>
        <w:rPr>
          <w:rFonts w:ascii="Times New Roman"/>
          <w:b w:val="false"/>
          <w:i w:val="false"/>
          <w:color w:val="000000"/>
          <w:sz w:val="28"/>
        </w:rPr>
        <w:t>
      остаток неинвестированных денег на счетах в национальной и иностранных валютах;</w:t>
      </w:r>
    </w:p>
    <w:p>
      <w:pPr>
        <w:spacing w:after="0"/>
        <w:ind w:left="0"/>
        <w:jc w:val="both"/>
      </w:pPr>
      <w:r>
        <w:rPr>
          <w:rFonts w:ascii="Times New Roman"/>
          <w:b w:val="false"/>
          <w:i w:val="false"/>
          <w:color w:val="000000"/>
          <w:sz w:val="28"/>
        </w:rPr>
        <w:t>
      суммарную стоимость передаваемых ценных бумаг с указанием национального идентификационного номера, срока обращения, количества, цены приобретения, текущей стоимости одной ценной бумаги для акций и цены в процентах от номинала для облигаций, начисленного дохода по процентам и дивидендам;</w:t>
      </w:r>
    </w:p>
    <w:p>
      <w:pPr>
        <w:spacing w:after="0"/>
        <w:ind w:left="0"/>
        <w:jc w:val="both"/>
      </w:pPr>
      <w:r>
        <w:rPr>
          <w:rFonts w:ascii="Times New Roman"/>
          <w:b w:val="false"/>
          <w:i w:val="false"/>
          <w:color w:val="000000"/>
          <w:sz w:val="28"/>
        </w:rPr>
        <w:t>
      вклады в банках второго уровня с указанием наименования банка, суммы вклада, даты заключения договора банковского вклада, срока действия договора, годовой ставки вознаграждения по вкладу, начисленных и полученных сумм вознаграждения по вкладу;</w:t>
      </w:r>
    </w:p>
    <w:p>
      <w:pPr>
        <w:spacing w:after="0"/>
        <w:ind w:left="0"/>
        <w:jc w:val="both"/>
      </w:pPr>
      <w:r>
        <w:rPr>
          <w:rFonts w:ascii="Times New Roman"/>
          <w:b w:val="false"/>
          <w:i w:val="false"/>
          <w:color w:val="000000"/>
          <w:sz w:val="28"/>
        </w:rPr>
        <w:t>
      перечень других финансовых инструментов с указанием суммы, количества и дополнительных характеристик, присущих данным финансовым инструментам;</w:t>
      </w:r>
    </w:p>
    <w:p>
      <w:pPr>
        <w:spacing w:after="0"/>
        <w:ind w:left="0"/>
        <w:jc w:val="both"/>
      </w:pPr>
      <w:r>
        <w:rPr>
          <w:rFonts w:ascii="Times New Roman"/>
          <w:b w:val="false"/>
          <w:i w:val="false"/>
          <w:color w:val="000000"/>
          <w:sz w:val="28"/>
        </w:rPr>
        <w:t>
      суммы обязательств по пенсионным активам, в том числе ошибочно зачисленные суммы;</w:t>
      </w:r>
    </w:p>
    <w:p>
      <w:pPr>
        <w:spacing w:after="0"/>
        <w:ind w:left="0"/>
        <w:jc w:val="both"/>
      </w:pPr>
      <w:r>
        <w:rPr>
          <w:rFonts w:ascii="Times New Roman"/>
          <w:b w:val="false"/>
          <w:i w:val="false"/>
          <w:color w:val="000000"/>
          <w:sz w:val="28"/>
        </w:rPr>
        <w:t>
      расчет стоимости одной условной единицы пенсионных активов на конец дня, предшествующего дню начала передачи пенсионных активов и обязательств по договорам о пенсионном обеспечении:</w:t>
      </w:r>
    </w:p>
    <w:p>
      <w:pPr>
        <w:spacing w:after="0"/>
        <w:ind w:left="0"/>
        <w:jc w:val="both"/>
      </w:pPr>
      <w:r>
        <w:rPr>
          <w:rFonts w:ascii="Times New Roman"/>
          <w:b w:val="false"/>
          <w:i w:val="false"/>
          <w:color w:val="000000"/>
          <w:sz w:val="28"/>
        </w:rPr>
        <w:t>
      по каждому виду инвестиционного портфеля (умеренному и консервативному).";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30</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"30. Единый накопительный пенсионный фонд не позднее тридцати календарных дней с даты завершения открытия в базе данных автоматизированной информационной системы единого накопительного пенсионного фонда индивидуальных пенсионных счетов всем вкладчикам (получателям) и зачисления на них пенсионных накоплений из накопительных пенсионных фондов, проводит сверку списка вкладчиков (получателей) обязательных пенсионных взносов с единым списком физических лиц, заключивших договор о пенсионном обеспечении за счет обязательных пенсионных взносов.</w:t>
      </w:r>
    </w:p>
    <w:p>
      <w:pPr>
        <w:spacing w:after="0"/>
        <w:ind w:left="0"/>
        <w:jc w:val="both"/>
      </w:pPr>
      <w:r>
        <w:rPr>
          <w:rFonts w:ascii="Times New Roman"/>
          <w:b w:val="false"/>
          <w:i w:val="false"/>
          <w:color w:val="000000"/>
          <w:sz w:val="28"/>
        </w:rPr>
        <w:t>
      31. Информация, хранящаяся в базах данных автоматизированных информационных систем накопительных пенсионных фондов (организаций, осуществляющих инвестиционное управление пенсионными активами), содержащая информацию о пенсионных накоплениях вкладчиков (получателей), а также иные сведения, составляющие тайну пенсионных накоплений, подлежит уничтожению.</w:t>
      </w:r>
    </w:p>
    <w:p>
      <w:pPr>
        <w:spacing w:after="0"/>
        <w:ind w:left="0"/>
        <w:jc w:val="both"/>
      </w:pPr>
      <w:r>
        <w:rPr>
          <w:rFonts w:ascii="Times New Roman"/>
          <w:b w:val="false"/>
          <w:i w:val="false"/>
          <w:color w:val="000000"/>
          <w:sz w:val="28"/>
        </w:rPr>
        <w:t>
      В соответствии со сроками, предусмотренными планом мероприятий по каждому отдельному накопительному пенсионному фонду (организации, осуществляющей инвестиционное управление пенсионными активами), на основании соответствующих решений органов единого накопительного пенсионного фонда и накопительного пенсионного фонда (организации, осуществляющей инвестиционное управление пенсионными активами) создается комиссия из представителей единого накопительного пенсионного фонда и накопительного пенсионного фонда (организации, осуществляющей инвестиционное управление пенсионными активами), которая осуществляет уничтожение сведений, указанных в части первой настоящего пункта Правил.</w:t>
      </w:r>
    </w:p>
    <w:p>
      <w:pPr>
        <w:spacing w:after="0"/>
        <w:ind w:left="0"/>
        <w:jc w:val="both"/>
      </w:pPr>
      <w:r>
        <w:rPr>
          <w:rFonts w:ascii="Times New Roman"/>
          <w:b w:val="false"/>
          <w:i w:val="false"/>
          <w:color w:val="000000"/>
          <w:sz w:val="28"/>
        </w:rPr>
        <w:t>
      Акт об уничтожении информации, предусмотренной частью первой настоящего пункта Правил, подписывается первыми руководителями единого накопительного пенсионного фонда и накопительного пенсионного фонда или лицами, их замещающими, заверяется их печатями.".</w:t>
      </w:r>
    </w:p>
    <w:bookmarkStart w:name="z25" w:id="13"/>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1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Келимбетов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