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4361" w14:textId="2244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некоторые нормативные правовые акты Республики Казахстан по вопросам формирования реестра сделок с производными финансовыми инструментами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февраля 2014 года № 11. Зарегистрировано в Министерстве юстиции Республики Казахстан 20 марта 2014 года № 9264.</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формирования реестра сделок с производными финансовыми инструментами, в которые вносятся дополнения и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2014 года № 11</w:t>
            </w:r>
          </w:p>
        </w:tc>
      </w:tr>
    </w:tbl>
    <w:bookmarkStart w:name="z5" w:id="3"/>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по вопросам</w:t>
      </w:r>
      <w:r>
        <w:br/>
      </w:r>
      <w:r>
        <w:rPr>
          <w:rFonts w:ascii="Times New Roman"/>
          <w:b/>
          <w:i w:val="false"/>
          <w:color w:val="000000"/>
        </w:rPr>
        <w:t>формирования реестра сделок с производными финансовыми</w:t>
      </w:r>
      <w:r>
        <w:br/>
      </w:r>
      <w:r>
        <w:rPr>
          <w:rFonts w:ascii="Times New Roman"/>
          <w:b/>
          <w:i w:val="false"/>
          <w:color w:val="000000"/>
        </w:rPr>
        <w:t>инструментами, в которые вносятся дополнения и изменения</w:t>
      </w:r>
    </w:p>
    <w:bookmarkEnd w:id="3"/>
    <w:p>
      <w:pPr>
        <w:spacing w:after="0"/>
        <w:ind w:left="0"/>
        <w:jc w:val="left"/>
      </w:pPr>
    </w:p>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17.04.2026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Правления Национального Банка РК от 19.12.2015 </w:t>
      </w:r>
      <w:r>
        <w:rPr>
          <w:rFonts w:ascii="Times New Roman"/>
          <w:b w:val="false"/>
          <w:i w:val="false"/>
          <w:color w:val="000000"/>
          <w:sz w:val="28"/>
        </w:rPr>
        <w:t>№ 254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8" w:id="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165 "Об утверждении Инструкции к программно-техническим средствам и иному оборудованию, необходимым для осуществления деятельности на рынке ценных бумаг" (зарегистрированное в Реестре государственной регистрации нормативных правовых актов под № 7734, опубликованное 29 августа 2012 года в газете "Казахстанская правда" № 290-291 (27109-27110) следующие изменения:</w:t>
      </w:r>
    </w:p>
    <w:bookmarkEnd w:id="5"/>
    <w:bookmarkStart w:name="z1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к программно-техническим средствам и иному оборудованию, необходимым для осуществления деятельности на рынке ценных бумаг, утвержденных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"1) проведение следующих операций:</w:t>
      </w:r>
    </w:p>
    <w:p>
      <w:pPr>
        <w:spacing w:after="0"/>
        <w:ind w:left="0"/>
        <w:jc w:val="both"/>
      </w:pPr>
      <w:r>
        <w:rPr>
          <w:rFonts w:ascii="Times New Roman"/>
          <w:b w:val="false"/>
          <w:i w:val="false"/>
          <w:color w:val="000000"/>
          <w:sz w:val="28"/>
        </w:rPr>
        <w:t>
      открытие лицевого счета;</w:t>
      </w:r>
    </w:p>
    <w:p>
      <w:pPr>
        <w:spacing w:after="0"/>
        <w:ind w:left="0"/>
        <w:jc w:val="both"/>
      </w:pPr>
      <w:r>
        <w:rPr>
          <w:rFonts w:ascii="Times New Roman"/>
          <w:b w:val="false"/>
          <w:i w:val="false"/>
          <w:color w:val="000000"/>
          <w:sz w:val="28"/>
        </w:rPr>
        <w:t>
      изменение сведений о зарегистрированном лице, паевом инвестиционном фонде или об управляющей компании паевого инвестиционного фонда;</w:t>
      </w:r>
    </w:p>
    <w:p>
      <w:pPr>
        <w:spacing w:after="0"/>
        <w:ind w:left="0"/>
        <w:jc w:val="both"/>
      </w:pPr>
      <w:r>
        <w:rPr>
          <w:rFonts w:ascii="Times New Roman"/>
          <w:b w:val="false"/>
          <w:i w:val="false"/>
          <w:color w:val="000000"/>
          <w:sz w:val="28"/>
        </w:rPr>
        <w:t>
      аннулирование выпуска эмиссионных ценных бумаг;</w:t>
      </w:r>
    </w:p>
    <w:p>
      <w:pPr>
        <w:spacing w:after="0"/>
        <w:ind w:left="0"/>
        <w:jc w:val="both"/>
      </w:pPr>
      <w:r>
        <w:rPr>
          <w:rFonts w:ascii="Times New Roman"/>
          <w:b w:val="false"/>
          <w:i w:val="false"/>
          <w:color w:val="000000"/>
          <w:sz w:val="28"/>
        </w:rPr>
        <w:t>
      списание (зачисление) ценных бумаг со (на) счетов (счета) зарегистрированных лиц;</w:t>
      </w:r>
    </w:p>
    <w:p>
      <w:pPr>
        <w:spacing w:after="0"/>
        <w:ind w:left="0"/>
        <w:jc w:val="both"/>
      </w:pPr>
      <w:r>
        <w:rPr>
          <w:rFonts w:ascii="Times New Roman"/>
          <w:b w:val="false"/>
          <w:i w:val="false"/>
          <w:color w:val="000000"/>
          <w:sz w:val="28"/>
        </w:rPr>
        <w:t>
      внесение записей об увеличении количества акций на лицевом счете зарегистрированного лица в связи с увеличением количества размещенных акций эмитента (за вычетом акций, выкупленных эмитентом);</w:t>
      </w:r>
    </w:p>
    <w:p>
      <w:pPr>
        <w:spacing w:after="0"/>
        <w:ind w:left="0"/>
        <w:jc w:val="both"/>
      </w:pPr>
      <w:r>
        <w:rPr>
          <w:rFonts w:ascii="Times New Roman"/>
          <w:b w:val="false"/>
          <w:i w:val="false"/>
          <w:color w:val="000000"/>
          <w:sz w:val="28"/>
        </w:rPr>
        <w:t>
      внесение записей о конвертировании ценных бумаг и иных денежных обязательств эмитента в простые акции эмитента;</w:t>
      </w:r>
    </w:p>
    <w:p>
      <w:pPr>
        <w:spacing w:after="0"/>
        <w:ind w:left="0"/>
        <w:jc w:val="both"/>
      </w:pPr>
      <w:r>
        <w:rPr>
          <w:rFonts w:ascii="Times New Roman"/>
          <w:b w:val="false"/>
          <w:i w:val="false"/>
          <w:color w:val="000000"/>
          <w:sz w:val="28"/>
        </w:rPr>
        <w:t>
      внесение записей об обмене размещенных акций эмитента одного вида на акции данного эмитента другого вида;</w:t>
      </w:r>
    </w:p>
    <w:p>
      <w:pPr>
        <w:spacing w:after="0"/>
        <w:ind w:left="0"/>
        <w:jc w:val="both"/>
      </w:pPr>
      <w:r>
        <w:rPr>
          <w:rFonts w:ascii="Times New Roman"/>
          <w:b w:val="false"/>
          <w:i w:val="false"/>
          <w:color w:val="000000"/>
          <w:sz w:val="28"/>
        </w:rPr>
        <w:t>
      обременение ценных бумаг и снятие обременения;</w:t>
      </w:r>
    </w:p>
    <w:p>
      <w:pPr>
        <w:spacing w:after="0"/>
        <w:ind w:left="0"/>
        <w:jc w:val="both"/>
      </w:pPr>
      <w:r>
        <w:rPr>
          <w:rFonts w:ascii="Times New Roman"/>
          <w:b w:val="false"/>
          <w:i w:val="false"/>
          <w:color w:val="000000"/>
          <w:sz w:val="28"/>
        </w:rPr>
        <w:t>
      блокирование ценных бумаг и снятие блокирования ценных бумаг;</w:t>
      </w:r>
    </w:p>
    <w:p>
      <w:pPr>
        <w:spacing w:after="0"/>
        <w:ind w:left="0"/>
        <w:jc w:val="both"/>
      </w:pPr>
      <w:r>
        <w:rPr>
          <w:rFonts w:ascii="Times New Roman"/>
          <w:b w:val="false"/>
          <w:i w:val="false"/>
          <w:color w:val="000000"/>
          <w:sz w:val="28"/>
        </w:rPr>
        <w:t>
      внесение записи о доверительном управляющем и удаление записи о доверительном управляющем;</w:t>
      </w:r>
    </w:p>
    <w:p>
      <w:pPr>
        <w:spacing w:after="0"/>
        <w:ind w:left="0"/>
        <w:jc w:val="both"/>
      </w:pPr>
      <w:r>
        <w:rPr>
          <w:rFonts w:ascii="Times New Roman"/>
          <w:b w:val="false"/>
          <w:i w:val="false"/>
          <w:color w:val="000000"/>
          <w:sz w:val="28"/>
        </w:rPr>
        <w:t>
      закрытие лицевого счета;</w:t>
      </w:r>
    </w:p>
    <w:p>
      <w:pPr>
        <w:spacing w:after="0"/>
        <w:ind w:left="0"/>
        <w:jc w:val="both"/>
      </w:pPr>
      <w:r>
        <w:rPr>
          <w:rFonts w:ascii="Times New Roman"/>
          <w:b w:val="false"/>
          <w:i w:val="false"/>
          <w:color w:val="000000"/>
          <w:sz w:val="28"/>
        </w:rPr>
        <w:t>
      составление и выдачу выписок с лицевого счета (субсчета) на определенную дату и время, отчетов о проведенных операциях, отчетов, уведомлений и справок по запросам держателей ценных бумаг, центрального депозитария, эмитентов и Национального Банка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"8) автоматическое отклонение заявок на приобретение государственных ценных бумаг при их первичном размещении, подаваемых не за счет активов банков второго уровня, единого накопительного пенсионного фонда, добровольных накопительных пенсионных фондов, страховых организаций, осуществляющих деятельность в отрасли "страхование жизни", а также клиентов, с которыми Национальным Банком Республики Казахстан заключены договоры об оказании брокерских услуг либо доверительного управления имуществом.";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6) следующего содержания:</w:t>
      </w:r>
    </w:p>
    <w:p>
      <w:pPr>
        <w:spacing w:after="0"/>
        <w:ind w:left="0"/>
        <w:jc w:val="both"/>
      </w:pPr>
      <w:r>
        <w:rPr>
          <w:rFonts w:ascii="Times New Roman"/>
          <w:b w:val="false"/>
          <w:i w:val="false"/>
          <w:color w:val="000000"/>
          <w:sz w:val="28"/>
        </w:rPr>
        <w:t>
      "6) для центрального депозитария ведение реестра сделок с производными финансовыми инструментами, заключенными на организованном и неорганизованном рынках.".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w:t>
            </w:r>
            <w:r>
              <w:br/>
            </w:r>
            <w:r>
              <w:rPr>
                <w:rFonts w:ascii="Times New Roman"/>
                <w:b w:val="false"/>
                <w:i w:val="false"/>
                <w:color w:val="000000"/>
                <w:sz w:val="20"/>
              </w:rPr>
              <w:t>Казахстан по вопросам формирования</w:t>
            </w:r>
            <w:r>
              <w:br/>
            </w:r>
            <w:r>
              <w:rPr>
                <w:rFonts w:ascii="Times New Roman"/>
                <w:b w:val="false"/>
                <w:i w:val="false"/>
                <w:color w:val="000000"/>
                <w:sz w:val="20"/>
              </w:rPr>
              <w:t>реестра сделок с производными</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в которые вносятся</w:t>
            </w:r>
            <w:r>
              <w:br/>
            </w:r>
            <w:r>
              <w:rPr>
                <w:rFonts w:ascii="Times New Roman"/>
                <w:b w:val="false"/>
                <w:i w:val="false"/>
                <w:color w:val="000000"/>
                <w:sz w:val="20"/>
              </w:rPr>
              <w:t>дополнения и изменения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19.12.2015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w:t>
            </w:r>
            <w:r>
              <w:br/>
            </w:r>
            <w:r>
              <w:rPr>
                <w:rFonts w:ascii="Times New Roman"/>
                <w:b w:val="false"/>
                <w:i w:val="false"/>
                <w:color w:val="000000"/>
                <w:sz w:val="20"/>
              </w:rPr>
              <w:t>Казахстан по вопросам формирования</w:t>
            </w:r>
            <w:r>
              <w:br/>
            </w:r>
            <w:r>
              <w:rPr>
                <w:rFonts w:ascii="Times New Roman"/>
                <w:b w:val="false"/>
                <w:i w:val="false"/>
                <w:color w:val="000000"/>
                <w:sz w:val="20"/>
              </w:rPr>
              <w:t>реестра сделок с производными</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в которые вносятся</w:t>
            </w:r>
            <w:r>
              <w:br/>
            </w:r>
            <w:r>
              <w:rPr>
                <w:rFonts w:ascii="Times New Roman"/>
                <w:b w:val="false"/>
                <w:i w:val="false"/>
                <w:color w:val="000000"/>
                <w:sz w:val="20"/>
              </w:rPr>
              <w:t>дополнения и изменения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19.12.2015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w:t>
            </w:r>
            <w:r>
              <w:br/>
            </w:r>
            <w:r>
              <w:rPr>
                <w:rFonts w:ascii="Times New Roman"/>
                <w:b w:val="false"/>
                <w:i w:val="false"/>
                <w:color w:val="000000"/>
                <w:sz w:val="20"/>
              </w:rPr>
              <w:t>Казахстан по вопросам формирования</w:t>
            </w:r>
            <w:r>
              <w:br/>
            </w:r>
            <w:r>
              <w:rPr>
                <w:rFonts w:ascii="Times New Roman"/>
                <w:b w:val="false"/>
                <w:i w:val="false"/>
                <w:color w:val="000000"/>
                <w:sz w:val="20"/>
              </w:rPr>
              <w:t>реестра сделок с производными</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в которые вносятся</w:t>
            </w:r>
            <w:r>
              <w:br/>
            </w:r>
            <w:r>
              <w:rPr>
                <w:rFonts w:ascii="Times New Roman"/>
                <w:b w:val="false"/>
                <w:i w:val="false"/>
                <w:color w:val="000000"/>
                <w:sz w:val="20"/>
              </w:rPr>
              <w:t>дополнения и изменения</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19.12.2015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w:t>
            </w:r>
            <w:r>
              <w:br/>
            </w:r>
            <w:r>
              <w:rPr>
                <w:rFonts w:ascii="Times New Roman"/>
                <w:b w:val="false"/>
                <w:i w:val="false"/>
                <w:color w:val="000000"/>
                <w:sz w:val="20"/>
              </w:rPr>
              <w:t>Казахстан по вопросам формирования</w:t>
            </w:r>
            <w:r>
              <w:br/>
            </w:r>
            <w:r>
              <w:rPr>
                <w:rFonts w:ascii="Times New Roman"/>
                <w:b w:val="false"/>
                <w:i w:val="false"/>
                <w:color w:val="000000"/>
                <w:sz w:val="20"/>
              </w:rPr>
              <w:t>реестра сделок с производными</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в которые вносятся</w:t>
            </w:r>
            <w:r>
              <w:br/>
            </w:r>
            <w:r>
              <w:rPr>
                <w:rFonts w:ascii="Times New Roman"/>
                <w:b w:val="false"/>
                <w:i w:val="false"/>
                <w:color w:val="000000"/>
                <w:sz w:val="20"/>
              </w:rPr>
              <w:t>дополнения и изменения</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19.12.2015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