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b143" w14:textId="6e0b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дисциплинарной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2014 года № 112. Зарегистрирован в Министерстве юстиции Республики Казахстан 20 марта 2014 года № 9252. Утратил силу приказом Министра юстиции Республики Казахстан от 27 февраля 2015 года 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27.02.2015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дисциплинарной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2014 года № 112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дисциплинарной комиссии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Положение о дисциплинарной комиссии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Закона Республики Казахстан от 2 апреля 2010 года «Об исполнительном производстве и статусе судебных исполнителей» и определяет полномочия, организацию деятельности дисциплинарной комиссии уполномоченного (территориального) органа по рассмотрению дисциплинарных проступков частных судебных 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используемые в настоящем положении: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дисциплинарное взыскание (далее - взыскание) - мера дисциплинарной ответственности, которая может быть наложена в отношении привлекаемого к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ответственность - вид юридической ответственности, которую несут за совершение дисциплинарных проступков при исполнении ими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дисциплинарный проступок (далее - проступок) - противоправное, виновное неисполнение или ненадлежащее исполнение служебных обязанностей, превышение должностных полномочий, нарушение Кодекса профессиональной чести частного судебного исполнителя, нарушение требований законодательных и иных нормативно-правовых актов Республики Казахстан, регламентирующих деятельность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Дисциплинарная комиссия (далее – комиссия) – постоянный действующий коллегиальный орган, созданный для рассмотрения материалов проведения проверки, исследования фактов, касающихся проступка, и вынесения рекомендаций о мере взыскания в отношении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проверка - деятельность по сбору материалов и сведений о проступке частных судебных исполнителей в целях полного, всестороннего и объективного выяснения обстоятельств его совершения.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Дисциплинарная комиссия основывается на принципах уважения прав, защиты законных интересов и строгого соблюдения законодательства Республики Казахстан.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работы дисциплинарной комиссии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комиссии утверждается приказом руководителя уполномоченного (территориального) органа и состоит из нечетного количества членов в составе не менее пяти человек, не менее двух из которых являются представителями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(региональной)</w:t>
      </w:r>
      <w:r>
        <w:rPr>
          <w:rFonts w:ascii="Times New Roman"/>
          <w:b w:val="false"/>
          <w:i w:val="false"/>
          <w:color w:val="000000"/>
          <w:sz w:val="28"/>
        </w:rPr>
        <w:t> коллегии частных судебных исполнителей, остальные должностными лицами уполномоченного (территориального) органа. Из числа членов данной комиссии назначается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на своем заседании рассматривает материалы дисциплинарного производства и исследует факты, касающиеся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заседание комиссии приглашается частный судебный исполнитель, в отношении которого возбуждено дисциплинарное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знакомится с материалами проверки и дает пояснения по существу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заслушивает объяснения частного судебного исполнителя, в отношении которого проведена проверка, и представителей уполномоченного (территориального) органа, Республиканской (региональной) коллегии, проводивших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Неявка частного судебного исполнителя, надлежащим образом извещенного о времени и месте заседания комиссии, не является препятствием для рассмотрения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Заседание дисциплинарной комиссии является правомочным, если на нем присутствуют не менее трех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Член комиссии не участвует в рассмотрении материалов проверки и исследования фактов, касающихся проступков в отношении частного судебного исполнителя, являющегося его близким родственником или если у члена комиссии имеется прямая или косвенная заинтересованность в данной проверке и подлежит отводу (самоотводу).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Самоотвод и отвод должны быть мотивированы и заявляются как до начала заседания, так и в ходе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самоотводе (отводе) члена комиссии принимается комиссией в письменной форме большинством голосов ее членов, участвующих в заседании, и оглашается в присутствии члена комиссии и частного судебного исполнителя, в отношении которого рассматриваются материалы дисциплинарного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рассматриваемым вопросам комиссия принимает соответствующее решение большинством голосов ее членов, участвующих в заседании, которое подписывается председателем, членами комиссии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голосованием. Члены комиссии определенно высказывают свое мнение и не могут воздержаться при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принимаемым решением член комиссии излагает особое мнение в письменной форме, которое приобщается к материалам по принятому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голоса членов комиссии разделились поровну,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заключения комиссии руководитель уполномоченного (территориального) органа принимает следующие решения: налагает соответствующее взыскание; направляет материалы на дополнительную служебную проверку или не налагает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 наложенном взыскании частный судебный исполнитель ставится в известность в течении трех рабочих дней со дня вынесения руководителем уполномоченного (территориального) органа приказа о наложении взыскания под роспись. В случае отказа частного судебного исполнителя, подвергнутого взысканию, подтвердить своей подписью ознакомление, об этом делается соответствующая запись в приказе о наложении взыскания либо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ознакомить частного судебного исполнителя с приказом о наложении взыскания, ему направляется копия приказа письмом с уведомлением.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Взыскание должно соответствовать тяжести совершенного проступка, форме и степени вины лица, его совершившего.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вида взыскания учитываются в совокупности: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характер проступка;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обстоятельства, при которых проступок совершен;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негативные последствия, которые повлек или мог повлечь совершенный проступок;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неснятых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 совершение дисциплинарного проступка налагаются следующие виды взысканий: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замечание;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строгий выговор;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принятие решения уполномоченным органом о приостановлении лицензии частного судебного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уполномоченным органом иска в суд о лишении лицензии частного судебного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Приостановление действия лицензии частного судебного исполнителя осуществляется решением уполномоченного органа на основании решения дисциплинарной комиссии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Направление уполномоченным органом иска в суд о лишении лицензии частного судебного исполнителя осуществляется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Дисциплинарное взыскание налагается не позднее одного месяца со дня обнаружения проступка и не может быть наложено позднее шести месяцев со дня совершения проступка.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Дисциплинарное взыскание снимается: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шести месяцев со дня наложения взыскания, если частный судебный исполнитель не будет подвергнут новому взысканию;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истечении шести месяцев по решению руководителя уполномоченного (территориального)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дисциплинарной комиссии может быть обжаловано в уполномоченный, территориальный орган, а также в судебном порядке.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