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b65c" w14:textId="188b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и критериев оценки степени рисков деятельности государственных учреждений по соблюдению законодательства об авторском праве и смежных правах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января 2014 года № 35. Зарегистрирован в Министерстве юстиции Республики Казахстан 13 февраля 2014 года № 9147.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18 марта 2002 года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деятельности государственных учреждений по соблюдению законодательства об авторском праве и смежных правах,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проверочного листа деятельности государственных учреждений по соблюдению законодательства об авторском праве и смежных правах,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(Естаеву А.К.):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Азимову Э.А.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деятельности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 по соблюдению законодательства об авторском праве и</w:t>
      </w:r>
      <w:r>
        <w:br/>
      </w:r>
      <w:r>
        <w:rPr>
          <w:rFonts w:ascii="Times New Roman"/>
          <w:b/>
          <w:i w:val="false"/>
          <w:color w:val="000000"/>
        </w:rPr>
        <w:t>смежных правах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деятельности государственных учреждений по соблюдению законодательства об авторском праве и смежных правах (далее – Критерии) разработаны для проведения плановых проверок субъектов, использующих объекты авторского права и смежных прав (далее – субъекты).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законным интересам авторов, субъектов смежных прав или их правообладателям;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– государственные учреждения, создаваемые государством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законодательными актами Республики Казахстан или нормативными правовыми актами Президента Республики Казахстан, Правительства Республики Казахстан и местных исполнительных органов областей, городов республиканского значения, столицы, районов, городов областного значения и содержащееся только за счет бюджета или бюджета (сметы расходов) Национального Банка Республики Казахстан, если дополнительные источники финансирования не установлены законодательными актами Республики Казахстан.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 все субъекты контроля относятся к группе незначительной степени риска.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Вторичное отнесение субъектов контроля по степеням риска осуществляется с учетом отраслевой статистики нарушений законодательства в области авторского и смежных прав, результатов плановых и внеплановых проверок в соответствии с качественными показателями риска от деятельности субъектов.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качественных критериев оценки степени рисков субъекты переходят в высокую, среднюю или незначительную степень риска.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критерии оцениваются в баллах: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объектов авторского права и смежных прав без договора с правообладателем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изготовление, распространение, сдача в прокат, предоставление во временное пользование или импорт в целях получения дохода либо оказание услуг в случаях,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могут обеспечить надлежащую защиту указанных прав –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без разрешения автора или иного правообладателя действий, направленных на снятие ограничений использования произведений или объектов смежных прав, установленных путем применения технических средств защиты авторского права и смежных прав –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удаление или изменение без разрешения автора или иного правообладателя информации об управлении правами –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воспроизведение, распространение, импорт в целях распространения, публичное исполнение, сообщение для всеобщего сведения по кабелю или передача в эфир, доведение до всеобщего сведения произведений или объектов смежных прав, в отношении которых без разрешения автора или иного правообладателя была удалена или изменена информация об управлении имущественными правами – 1 балл.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субъектов по степени риска: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субъекты по результатам проверок набравшие от 6 до 8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 субъекты по результатам проверок набравшие от 3 до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относятся субъекты по результатам проверок набравшие от 0 до 2 баллов.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Периодичность проведения вторичных плановых проверок устанавливается в следующем порядке: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одного раза в год при высокой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одного раза в три года – при средней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одного раза в пять лет – при незначительной степени риска.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35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деятельности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по соблюдению законодательства об авторском праве и</w:t>
      </w:r>
      <w:r>
        <w:br/>
      </w:r>
      <w:r>
        <w:rPr>
          <w:rFonts w:ascii="Times New Roman"/>
          <w:b/>
          <w:i w:val="false"/>
          <w:color w:val="000000"/>
        </w:rPr>
        <w:t>смежных правах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 юстиции,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 о назначении проверки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субъекта контроля, использующего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авторского и смежных прав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8341"/>
        <w:gridCol w:w="527"/>
        <w:gridCol w:w="527"/>
        <w:gridCol w:w="858"/>
        <w:gridCol w:w="529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законодательства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необходимости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правообладателями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купли-продажи, накладных, квитанции, подтверждение выплаты вознаграждений авторам и иным правообладателям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поименного перечня объектов интеллектуальной собственности, на которые переданы права (приложение к договорам или товарные накладные в зависимости от условий договора)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объектов (экземпляров) интеллектуальной собственности требованиям правообладателей (в зависимости от условий договора)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Должностные лица, проводившие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(должность)         (подпись)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(должность)         (подпись)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Ознакомлен субъект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(должность)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