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b65c" w14:textId="188b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и критериев оценки степени рисков деятельности государственных учреждений по соблюдению законодательства об авторском праве и смежных правах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января 2014 года № 35. Зарегистрирован в Министерстве юстиции Республики Казахстан 13 февраля 2014 года № 9147.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 Закона Республики Казахстан от 18 марта 2002 года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рисков деятельности государственных учреждений по соблюдению законодательства об авторском праве и смежных правах,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проверочного листа деятельности государственных учреждений по соблюдению законодательства об авторском праве и смежных правах,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(Естаеву А.К.):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Интернет-ресурсе Министерства юстиции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Азимову Э.А.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рисков деятельности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 по соблюдению законодательства об авторском праве и</w:t>
      </w:r>
      <w:r>
        <w:br/>
      </w:r>
      <w:r>
        <w:rPr>
          <w:rFonts w:ascii="Times New Roman"/>
          <w:b/>
          <w:i w:val="false"/>
          <w:color w:val="000000"/>
        </w:rPr>
        <w:t>смежных правах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Критерии оценки степени рисков деятельности государственных учреждений по соблюдению законодательства об авторском праве и смежных правах (далее – Критерии) разработаны для проведения плановых проверок субъектов, использующих объекты авторского права и смежных прав (далее – субъекты).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 – вероятность причинения вреда в результате деятельности проверяемого субъекта законным интересам авторов, субъектов смежных прав или их правообладателям;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контроля – государственные учреждения, создаваемые государством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законодательными актами Республики Казахстан или нормативными правовыми актами Президента Республики Казахстан, Правительства Республики Казахстан и местных исполнительных органов областей, городов республиканского значения, столицы, районов, городов областного значения и содержащееся только за счет бюджета или бюджета (сметы расходов) Национального Банка Республики Казахстан, если дополнительные источники финансирования не установлены законодательными актами Республики Казахстан.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Первично все субъекты контроля относятся к группе незначительной степени риска.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Вторичное отнесение субъектов контроля по степеням риска осуществляется с учетом отраслевой статистики нарушений законодательства в области авторского и смежных прав, результатов плановых и внеплановых проверок в соответствии с качественными показателями риска от деятельности субъектов.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зависимости от качественных критериев оценки степени рисков субъекты переходят в высокую, среднюю или незначительную степень риска.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Качественные критерии оцениваются в баллах: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использование объектов авторского права и смежных прав без договора с правообладателем –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изготовление, распространение, сдача в прокат, предоставление во временное пользование или импорт в целях получения дохода либо оказание услуг в случаях, если в результате таких действий становится невозможным использование технических средств защиты авторского права и смежных прав либо эти технические средства не могут обеспечить надлежащую защиту указанных прав –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без разрешения автора или иного правообладателя действий, направленных на снятие ограничений использования произведений или объектов смежных прав, установленных путем применения технических средств защиты авторского права и смежных прав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удаление или изменение без разрешения автора или иного правообладателя информации об управлении правами – 1 балл;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воспроизведение, распространение, импорт в целях распространения, публичное исполнение, сообщение для всеобщего сведения по кабелю или передача в эфир, доведение до всеобщего сведения произведений или объектов смежных прав, в отношении которых без разрешения автора или иного правообладателя была удалена или изменена информация об управлении имущественными правами – 1 балл.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субъектов по степени риска: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субъекты по результатам проверок набравшие от 6 до 8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субъекты по результатам проверок набравшие от 3 до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риска относятся субъекты по результатам проверок набравшие от 0 до 2 баллов.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Периодичность проведения вторичных плановых проверок устанавливается в следующем порядке: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одного раза в год при высокой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одного раза в три года – при средней степени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одного раза в пять лет – при незначительной степени риска.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 № 35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деятельности государственных учреждений</w:t>
      </w:r>
      <w:r>
        <w:br/>
      </w:r>
      <w:r>
        <w:rPr>
          <w:rFonts w:ascii="Times New Roman"/>
          <w:b/>
          <w:i w:val="false"/>
          <w:color w:val="000000"/>
        </w:rPr>
        <w:t>по соблюдению законодательства об авторском праве и</w:t>
      </w:r>
      <w:r>
        <w:br/>
      </w:r>
      <w:r>
        <w:rPr>
          <w:rFonts w:ascii="Times New Roman"/>
          <w:b/>
          <w:i w:val="false"/>
          <w:color w:val="000000"/>
        </w:rPr>
        <w:t>смежных правах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 юстиции, назначивший проверку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 о назначении проверки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Наименование субъекта контроля, использующего объекты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авторского и смежных прав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8"/>
        <w:gridCol w:w="8341"/>
        <w:gridCol w:w="527"/>
        <w:gridCol w:w="527"/>
        <w:gridCol w:w="858"/>
        <w:gridCol w:w="529"/>
      </w:tblGrid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законодательства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необходимости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договоров с правообладателями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купли-продажи, накладных, квитанции, подтверждение выплаты вознаграждений авторам и иным правообладателям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поименного перечня объектов интеллектуальной собственности, на которые переданы права (приложение к договорам или товарные накладные в зависимости от условий договора)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объектов (экземпляров) интеллектуальной собственности требованиям правообладателей (в зависимости от условий договора)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Должностные лица, проводившие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(должность)         (подпись)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(должность)         (подпись)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Ознакомлен субъект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(должность)       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