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1f22" w14:textId="aa51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
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19 марта 2013 года № 72. Зарегистрировано Департаментом юстиции Западно-Казахстанской области 22 апреля 2013 года № 3265. Утратило силу постановлением акимата Таскалинского района Западно-Казахстанской области от 20 мая 2013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Таскалинского района Западно-Казахстанской области от 20.05.2013 № 145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в полосе отвода автомобильных дорог общего пользованияо областного и районного значения, а также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2013 года № 72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размещение</w:t>
      </w:r>
      <w:r>
        <w:br/>
      </w:r>
      <w:r>
        <w:rPr>
          <w:rFonts w:ascii="Times New Roman"/>
          <w:b/>
          <w:i w:val="false"/>
          <w:color w:val="000000"/>
        </w:rPr>
        <w:t>
наружной (визуальной) рекламы в</w:t>
      </w:r>
      <w:r>
        <w:br/>
      </w:r>
      <w:r>
        <w:rPr>
          <w:rFonts w:ascii="Times New Roman"/>
          <w:b/>
          <w:i w:val="false"/>
          <w:color w:val="000000"/>
        </w:rPr>
        <w:t>
полосе отвода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общего пользования областного</w:t>
      </w:r>
      <w:r>
        <w:br/>
      </w:r>
      <w:r>
        <w:rPr>
          <w:rFonts w:ascii="Times New Roman"/>
          <w:b/>
          <w:i w:val="false"/>
          <w:color w:val="000000"/>
        </w:rPr>
        <w:t>
и районного значения, а также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пунктах"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– государственная услуга) оказывается государственным учреждением "Отдел архитектуры, градостроительства и строительства Таскалинского района" (далее – уполномоченный орган), и через отдел Таскалинского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 на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1998 года № 845 "О совершенствовании правового обеспечения дорожного хозяйства"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121 "Об утверждении Правил размещения объектов наружной (визуальной) рекламы в населенных пунктах"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 утвержденного постановлением Правительства Республики Казахстан от 16 октября 2012 года № 1315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интернет-ресурсах уполномоченных органов, на интернет-ресурсе Центра www.con.gov.kz, на стендах, расположенных в помещениях уполномоченного органа на самом видном для получателя государственной услуги месте,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Абая, 23, телефон: 8(71139)22610, 21567, oagis-taskala@mail.ru.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091000, Западно-Казахстанская область, Таскалинский район, село Таскала, улица Вокзальная, 6, телефон: 8(71139)21979.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разрешения на размещение объекта наружной (визуальной) рекламы в населенных пунктах (далее – разрешение) или паспорта на размещение наружной (визуальной) рекламы в полосе отвода автомобильных дорог общего пользования областного и районного значения на бумажном носителе (далее – паспорт) либо мотивированный ответ об отказе в выдаче разрешения или паспорта на бумажном носителе.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заявления – в течение пяти рабочих дней получателю государственной услуги выдаются разрешение на размещение наружной (визуальной) рекламы в населенных пунктах или паспорт на размещение наружной (визуальной) рекламы в полосе отвода автомобильных дорог общего пользования областного и районного значения либо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заявления,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паспорта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паспорта или разрешения осуществляется в течение пяти рабочих дней (2 дня доставки в уполномоченный орган и 2 дня исполненных документов в Центр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паспорта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 Центра по месту проживания получателя государственной услуги, оборудованных пандусом для людей с ограниченными физическими возможностями, залом ожидания. В зале располагаются справочное бюро, кресла ожидания, информационные стенды с образцами заполненных бланков.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для получения государственной услуги в уполномоченном органе либо Центре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уполномоченного органа либо работника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и Центре выдача результата оказания государственной услуги получателю государственных услуг осуществляется на основании расписки в указанный в ней срок, при личном посещении и по предъявлению документа, удостоверяющего личность,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несоответствие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требованиям, установленным нормативно-техническими документами в области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наружной (визуальной) рекламы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полосе отвода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пользования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районного значения,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населенных пунктах"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4073"/>
        <w:gridCol w:w="30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центра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945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соответствующих документов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соответствующих документов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уполномоченного органа на подписание разрешение или паспорт на бумажном носителе либо мотивированный ответ об отказе в выдаче разрешения или паспорта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полученного от уполномоченного органа разрешение или паспорт на бумажном носителе либо мотивированный ответ об отказе в выдаче разрешения или паспорта на бумажном носителе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разрешение или паспорт на бумажном носителе либо мотивированный ответ об отказе в выдаче разрешения или паспорта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уполномоченный орган: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подачи заявления – в течение пяти рабочих дней получателю государственной услуги выдаются разрешение на размещение наружной (визуальной) рекламы в населенных пунктах или паспорт на размещение наружной (визуальной) рекламы в полосе отвода автомобильных дорог общего пользования областного и районного значения либо письменный мотивированный отказ;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Центр: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паспорта или разрешения осуществляется в течение пяти рабочих дней (2 дня доставки в уполномоченный орган и 2 дня исполненных документов в Центр не входят в срок оказания государственной услуги).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наружной (визуальной) рекламы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полосе отвода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пользования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районного значения,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населенных пунктах"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