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15cf" w14:textId="d001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22 февраля 2013 года № 42. Зарегистрировано Департаментом юстиции Западно-Казахстанской области 29 марта 2013 года № 3224. Утратило силу постановлением акимата Бокейординского района Западно-Казахстанской области от 3 июня 2013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03.06.2013 № 102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Т. 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Сабиров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безработных граждан"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постановка на учет безработных граждан"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"Бокейординский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уполномоченных органах,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потребитель).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отчество,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иметься пандус.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4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</w:t>
      </w:r>
      <w:r>
        <w:br/>
      </w:r>
      <w:r>
        <w:rPr>
          <w:rFonts w:ascii="Times New Roman"/>
          <w:b/>
          <w:i w:val="false"/>
          <w:color w:val="000000"/>
        </w:rPr>
        <w:t>
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"Бокейординский районный отдел занятости и социальных программ" (далее – рабочий орган специальной комиссии),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рабочего органа специальной комиссии: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потребителем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613"/>
        <w:gridCol w:w="3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</w:t>
            </w:r>
          </w:p>
        </w:tc>
      </w:tr>
      <w:tr>
        <w:trPr>
          <w:trHeight w:val="13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комиссии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рабочий орган специальной комиссии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рабочему органу специальной комиссии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комиссий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не более двадцати календарных дней (день приема и выдачи документа(результата) государственной услуги не входит в срок оказания государственной услуги);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для предоставления им 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помощи"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протезно-ортопедической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государственная услуга) предоставляется государственным учреждением "Бокейординский районный отдел занятости и социальных программ" (далее – уполномоченный орган),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уведомление), либо мотивированный ответ об отказе в предоставлении услуги на бумажном носителе.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до 18.30 часов, с перерывом на обед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(взаимодействие)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4953"/>
        <w:gridCol w:w="3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 для обеспечения их 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- государственная услуга) оказывается государственным учреждением "Бокейординский районный отдел занятости и социальных программ" (далее – уполномоченный орган),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01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4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2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государственных пособий семьям, имеющим детей до 18 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оказывается государственным учреждением "Бокейординский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направляет в уполномоченный орган. Также государственная услуга предоставляется через отдел Бокейординского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 в уполномоченном органе, у акима аульного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 в уполномоченном органе, у акима аульного округа и в центре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98"/>
        <w:gridCol w:w="5039"/>
        <w:gridCol w:w="287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871140-24-331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871140-24-417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871140-23-449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871140-23-559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090205, Западно-Казахстанская область, Бокейординский район, село Хан Ордасы, улица Оразбаевой,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871140-60-130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871140-60-316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871140-21-749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871140-21-620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871140-53-117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871140-53-116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090202, Западно-Казахстанская область, Бокейординский район, село Бурли, улица Т. Масина, 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871140-33-234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871140-33-200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871140-44-119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871140-44-159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513"/>
        <w:gridCol w:w="319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расписки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помощи"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– государственная услуга), предоставляется государственным учреждением "Бокейординский районный отдел занятости и социальных программ" (далее – уполномоченный орган). При отсутствии уполномоченного органа по месту жительства аким аульного округа принимает документы у потребителя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аульного округа: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аульного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98"/>
        <w:gridCol w:w="5039"/>
        <w:gridCol w:w="287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871140-24-331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871140-24-417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871140-23-449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871140-23-559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090205, Западно-Казахстанская область, Бокейординский район, село Хан Ордасы, улица Оразбаевой,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871140-60-130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871140-60-316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871140-21-749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871140-21-620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871140-53-117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871140-53-116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090202, Западно-Казахстанская область, Бокейординский район, село Бурли, улица Т. Масина, 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871140-33-234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871140-33-200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871140-44-119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871140-44-159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395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 о назначении АСП,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позднее двадцати двух рабочих дней;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услуги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помощника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
первой группы, имеющих затруднение</w:t>
      </w:r>
      <w:r>
        <w:br/>
      </w:r>
      <w:r>
        <w:rPr>
          <w:rFonts w:ascii="Times New Roman"/>
          <w:b/>
          <w:i w:val="false"/>
          <w:color w:val="000000"/>
        </w:rPr>
        <w:t>
в передвижении, и специалиста жестового</w:t>
      </w:r>
      <w:r>
        <w:br/>
      </w:r>
      <w:r>
        <w:rPr>
          <w:rFonts w:ascii="Times New Roman"/>
          <w:b/>
          <w:i w:val="false"/>
          <w:color w:val="000000"/>
        </w:rPr>
        <w:t>
языка для инвалидов по слуху"</w:t>
      </w:r>
    </w:p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оказывается государственным учреждением "Бокейординский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35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585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кресла-коляски"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кресла-коляски" (далее – государственная услуга) предоставляется государственным учреждением "Бокейординский 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наименование полученной кресло-коляски, даты получения, отметки в получении.</w:t>
      </w:r>
    </w:p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3"/>
        <w:gridCol w:w="3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51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потребителю уведомление, либо мотивированного ответа об отказе в предоставлении государственных услуг на бумажном 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государственная услуга) предоставляется государственным учреждением "Бокейординский районный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(далее-уведомление), либо мотивированный ответ об отказе в предоставлении услуги на бумажном носителе.</w:t>
      </w:r>
    </w:p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3"/>
        <w:gridCol w:w="3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8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государственная услуга) оказывается государственным учреждением "Бокейординский районный отдел занятости и социальных программ" (далее – уполномоченный орган),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</w:p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включительно, кроме выходных и праздничных дней, с 9.00 до 18.30 часов,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требованиям к безопасности зданий, в том числе пожарной безопасности, режим помещения - свободный.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419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расписки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талона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получателю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"Бокейординский районный отдел занятости и социальных программ" (далее - уполномоченный орган),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913"/>
        <w:gridCol w:w="3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средств"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</w:t>
      </w:r>
      <w:r>
        <w:br/>
      </w:r>
      <w:r>
        <w:rPr>
          <w:rFonts w:ascii="Times New Roman"/>
          <w:b/>
          <w:i w:val="false"/>
          <w:color w:val="000000"/>
        </w:rPr>
        <w:t>
инвалидов и детей-инвалидов,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постороннем уходе и помощи"</w:t>
      </w:r>
    </w:p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"Бокейординский районный отдел занятости и социальных программ" (далее - уполномоченный орган),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19.00 часов без перерыва без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153"/>
        <w:gridCol w:w="3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(далее-государственная услуга) предоставляется государственным учреждением "Бокейординский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 (далее - физическое лицо).</w:t>
      </w:r>
    </w:p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в том числе пожарной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 помещения - свободный.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физическим лицом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3"/>
        <w:gridCol w:w="3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065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физическому лицу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
по приобретению топлива"</w:t>
      </w:r>
    </w:p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оказывается государственным учреждением "Бокейординский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понедельника по пятницу включительно, кроме выходных и праздничных дней, с 9.00 до 18.30 часов, обед с 13.00 до 14.30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98"/>
        <w:gridCol w:w="5039"/>
        <w:gridCol w:w="287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871140-24-331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871140-24-417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871140-23-449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871140-23-559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090205, Западно-Казахстанская область, Бокейординский район, село Хан Ордасы, улица Оразбаевой,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871140-60-130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871140-60-316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871140-21-749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871140-21-620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871140-53-117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871140-53-116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090202, Западно-Казахстанская область, Бокейординский район, село Бурли, улица Т. Масина, 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871140-33-234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871140-33-200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871140-44-119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871140-44-159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873"/>
        <w:gridCol w:w="3113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94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результата об оказании государствен-ной услуги</w:t>
            </w:r>
          </w:p>
        </w:tc>
      </w:tr>
      <w:tr>
        <w:trPr>
          <w:trHeight w:val="15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государствен-ной услуги на бумажном носителе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полученного от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уведомление,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бумажном носителе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в течение пятнадцати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</w:t>
      </w:r>
      <w:r>
        <w:br/>
      </w:r>
      <w:r>
        <w:rPr>
          <w:rFonts w:ascii="Times New Roman"/>
          <w:b/>
          <w:i w:val="false"/>
          <w:color w:val="000000"/>
        </w:rPr>
        <w:t>
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справки, подтверждающей принадлежность заявителя(семьи)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государственным учреждением "Бокейординский районный отдел занятости и социальных программ" (далее – уполномоченный орган).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 – получателям государственной адресной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аульного округа: ежедневно с 9.00 до 18.30 часов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аульного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398"/>
        <w:gridCol w:w="5039"/>
        <w:gridCol w:w="287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Бисенского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871140-24-331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871140-24-417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Муратсайского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871140-23-449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871140-23-559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090205, Западно-Казахстанская область, Бокейординский район, село Хан Ордасы, улица Оразбаевой, 15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871140-60-130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871140-60-316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Сайхинского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871140-21-749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871140-21-620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Саралжинского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871140-53-117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871140-53-116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 Масинского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090202, Западно-Казахстанская область, Бокейординский район, село Бурли, улица Т. Масина, 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871140-33-234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871140-33-200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аульного округа"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871140-44-119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871140-44-159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433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44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8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более 15 минут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42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(далее - государственная услуга) предоставляется государственным учреждением "Бокейординский 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О. Бөкейханова, 1, телефон: 8(71140)21361, bokeiorda@mail.kz.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отчества,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3"/>
        <w:gridCol w:w="3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495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