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c5aa" w14:textId="511c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
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2013 года № 40. Зарегистрировано Департаментом юстиции Западно-Казахстанской области 22 апреля 2013 года № 3262.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информатизации"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Кульгинова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29.03.2013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вида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
переработке и реализации юридическими</w:t>
      </w:r>
      <w:r>
        <w:br/>
      </w:r>
      <w:r>
        <w:rPr>
          <w:rFonts w:ascii="Times New Roman"/>
          <w:b/>
          <w:i w:val="false"/>
          <w:color w:val="000000"/>
        </w:rPr>
        <w:t>
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
цветных и черных металлов"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оказывается государственным учреждением "Управление предпринимательства и промышленности Западно-Казахстанской области" (далее – услугодатель), а также через веб-портал "электронного правительства" www.egov.kz или веб-портал "Е-лицензирование"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 электронной государственной услуги разработан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стандарта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1130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января 2007 года "О лицензировании".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получатель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Единая нотариальная информационная система (далее – ЕНИС).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</w:t>
      </w:r>
      <w:r>
        <w:br/>
      </w:r>
      <w:r>
        <w:rPr>
          <w:rFonts w:ascii="Times New Roman"/>
          <w:b/>
          <w:i w:val="false"/>
          <w:color w:val="000000"/>
        </w:rPr>
        <w:t>
услогодателя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1414.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3373"/>
        <w:gridCol w:w="2673"/>
        <w:gridCol w:w="269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 компьютера получателя регистрационного свидетельства ЭЦП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093"/>
        <w:gridCol w:w="3233"/>
        <w:gridCol w:w="305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поступает в ИС ГБД "Е-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093"/>
        <w:gridCol w:w="3233"/>
        <w:gridCol w:w="305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получателя) в ИС "Е-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лицензирование" и обработка запроса в ИС "Е-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 в ИС "Е-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 (электронная лицензия)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получателя 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требованиям и основаниям для выдачи лицензии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3053"/>
        <w:gridCol w:w="3133"/>
        <w:gridCol w:w="249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проверка в ИС ГБД "Е-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лицензирование" подлинности данных логина и пароля сотрудника услугодателя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4213"/>
        <w:gridCol w:w="3993"/>
      </w:tblGrid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ГБД ЮЛ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если данные по запросу найдены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353"/>
        <w:gridCol w:w="34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 лицензирование"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 лицензирование"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 лицензирование"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с ИС "Е-лицензирование" и обработка услуги в ИС ГБД "Е-лицензирование"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документа (электронная лицензия)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(электронная лицензия)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346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520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9733"/>
      </w:tblGrid>
      <w:tr>
        <w:trPr>
          <w:trHeight w:val="6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5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5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Поток управления </w:t>
            </w:r>
          </w:p>
        </w:tc>
      </w:tr>
      <w:tr>
        <w:trPr>
          <w:trHeight w:val="5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Поток сообщений </w:t>
            </w:r>
          </w:p>
        </w:tc>
      </w:tr>
      <w:tr>
        <w:trPr>
          <w:trHeight w:val="46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получателю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</w:t>
      </w:r>
      <w:r>
        <w:br/>
      </w:r>
      <w:r>
        <w:rPr>
          <w:rFonts w:ascii="Times New Roman"/>
          <w:b/>
          <w:i w:val="false"/>
          <w:color w:val="000000"/>
        </w:rPr>
        <w:t>
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