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2c0a" w14:textId="4ff2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Урджарского районного 
маслихата от 21 декабря 2012 года № 9-74/V "О районном бюджете на
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09 октября 2013 года № 19-180/V. Зарегистрировано Департаментом юстиции Восточно-Казахстанской области 24 октября 2013 года № 3074. Прекращено действие по истечении срока действия (письмо Урджарского районного маслихата от 29 ноября 2013 года № 221-03/13)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Урджарского районного маслихата от 29.11.2013 № 221-03/13).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21 декабря 2012 года № 9-74/V «О районном бюджете на 2013-2015 годы» (зарегистрировано в Реестре государственной регистрации нормативных правовых актов за номером 2800, опубликовано в газете «Уақыт тынысы» от 14 января 2013 года в номере 4-5) следующие 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- 5 537 092,0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805 696,0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16 636,0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- 4 695 760,0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12 «Транспорт и коммуникации» дополнить: программой 458.024 «Организация внутрипоселковых (внутригородских), пригородных и внутрирайонных общественных пассажирских перевозок 1983,0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rPr>
          <w:rFonts w:ascii="Times New Roman"/>
          <w:b w:val="false"/>
          <w:i/>
          <w:color w:val="000000"/>
          <w:sz w:val="28"/>
        </w:rPr>
        <w:t>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Бытымбаев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9-74/V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октября 2013 года № 19-180/V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3"/>
      </w:tblGrid>
      <w:tr>
        <w:trPr>
          <w:trHeight w:val="30" w:hRule="atLeast"/>
        </w:trPr>
        <w:tc>
          <w:tcPr>
            <w:tcW w:w="1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946"/>
        <w:gridCol w:w="787"/>
        <w:gridCol w:w="8257"/>
        <w:gridCol w:w="210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5537092,0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805696,0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351010,0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351010,0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265122,0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265122,0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165812,0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76500,0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71296,0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4568,0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13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3576,0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3570,0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6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2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4695760,0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4695760,0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3"/>
      </w:tblGrid>
      <w:tr>
        <w:trPr>
          <w:trHeight w:val="30" w:hRule="atLeast"/>
        </w:trPr>
        <w:tc>
          <w:tcPr>
            <w:tcW w:w="1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22"/>
        <w:gridCol w:w="941"/>
        <w:gridCol w:w="786"/>
        <w:gridCol w:w="7618"/>
        <w:gridCol w:w="2109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5629426,1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447050,0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399012,0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15516,0</w:t>
            </w:r>
          </w:p>
        </w:tc>
      </w:tr>
      <w:tr>
        <w:trPr>
          <w:trHeight w:val="7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101780,0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281716,0</w:t>
            </w:r>
          </w:p>
        </w:tc>
      </w:tr>
      <w:tr>
        <w:trPr>
          <w:trHeight w:val="10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268786,0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27439,0</w:t>
            </w:r>
          </w:p>
        </w:tc>
      </w:tr>
      <w:tr>
        <w:trPr>
          <w:trHeight w:val="13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22365,0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20599,0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20599,0</w:t>
            </w:r>
          </w:p>
        </w:tc>
      </w:tr>
      <w:tr>
        <w:trPr>
          <w:trHeight w:val="13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11364,0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3601712,0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127414,0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127414,0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16090,0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111324,0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3029271,0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3024602,0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2967169,0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57433,0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445027,0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153117,0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14222,0</w:t>
            </w:r>
          </w:p>
        </w:tc>
      </w:tr>
      <w:tr>
        <w:trPr>
          <w:trHeight w:val="10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16468,0</w:t>
            </w:r>
          </w:p>
        </w:tc>
      </w:tr>
      <w:tr>
        <w:trPr>
          <w:trHeight w:val="12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20595,0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27087,0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66586,0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4239,0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291910,0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291910,0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341239,0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311951,0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311951,0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33364,0</w:t>
            </w:r>
          </w:p>
        </w:tc>
      </w:tr>
      <w:tr>
        <w:trPr>
          <w:trHeight w:val="17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52372,0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75702,0</w:t>
            </w:r>
          </w:p>
        </w:tc>
      </w:tr>
      <w:tr>
        <w:trPr>
          <w:trHeight w:val="7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50974,0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67902,0</w:t>
            </w:r>
          </w:p>
        </w:tc>
      </w:tr>
      <w:tr>
        <w:trPr>
          <w:trHeight w:val="17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29288,0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29288,0</w:t>
            </w:r>
          </w:p>
        </w:tc>
      </w:tr>
      <w:tr>
        <w:trPr>
          <w:trHeight w:val="10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27466,0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449758,0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127298,0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1081,0</w:t>
            </w:r>
          </w:p>
        </w:tc>
      </w:tr>
      <w:tr>
        <w:trPr>
          <w:trHeight w:val="7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1081,0</w:t>
            </w:r>
          </w:p>
        </w:tc>
      </w:tr>
      <w:tr>
        <w:trPr>
          <w:trHeight w:val="10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57936,0</w:t>
            </w:r>
          </w:p>
        </w:tc>
      </w:tr>
      <w:tr>
        <w:trPr>
          <w:trHeight w:val="10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33560,0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7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67585,0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67585,0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225723,0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52424,0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52424,0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173299,0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47765,0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125534,0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96737,0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96737,0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38355,0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28012,0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200484,0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119199,0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119199,0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119199,0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15974,0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15443,0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6913,0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47234,0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23805,0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16102,0</w:t>
            </w:r>
          </w:p>
        </w:tc>
      </w:tr>
      <w:tr>
        <w:trPr>
          <w:trHeight w:val="12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7327,0</w:t>
            </w:r>
          </w:p>
        </w:tc>
      </w:tr>
      <w:tr>
        <w:trPr>
          <w:trHeight w:val="7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184855,0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38893,0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33204,0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23256,0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15056,0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130906,0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130906,0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130906,0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21525,0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21525,0</w:t>
            </w:r>
          </w:p>
        </w:tc>
      </w:tr>
      <w:tr>
        <w:trPr>
          <w:trHeight w:val="19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12525,0</w:t>
            </w:r>
          </w:p>
        </w:tc>
      </w:tr>
      <w:tr>
        <w:trPr>
          <w:trHeight w:val="12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163297,4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161314,4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161314,4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161314,4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196236,0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12553,0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183683,0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173803,0</w:t>
            </w:r>
          </w:p>
        </w:tc>
      </w:tr>
      <w:tr>
        <w:trPr>
          <w:trHeight w:val="12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15230,0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65684,0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92889,0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2012,7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2012,7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324,7</w:t>
            </w:r>
          </w:p>
        </w:tc>
      </w:tr>
      <w:tr>
        <w:trPr>
          <w:trHeight w:val="13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12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-132166,1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  (использование профицита)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132166,1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92334,1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92334,1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92334,1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2013 года № 9-74/V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октября 2013 года № 19-180/V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2013 года,</w:t>
      </w:r>
      <w:r>
        <w:br/>
      </w:r>
      <w:r>
        <w:rPr>
          <w:rFonts w:ascii="Times New Roman"/>
          <w:b/>
          <w:i w:val="false"/>
          <w:color w:val="000000"/>
        </w:rPr>
        <w:t>
направленных на реализацию бюджетных инвестиционных проектов и</w:t>
      </w:r>
      <w:r>
        <w:br/>
      </w:r>
      <w:r>
        <w:rPr>
          <w:rFonts w:ascii="Times New Roman"/>
          <w:b/>
          <w:i w:val="false"/>
          <w:color w:val="000000"/>
        </w:rPr>
        <w:t>
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3"/>
      </w:tblGrid>
      <w:tr>
        <w:trPr>
          <w:trHeight w:val="30" w:hRule="atLeast"/>
        </w:trPr>
        <w:tc>
          <w:tcPr>
            <w:tcW w:w="1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63"/>
        <w:gridCol w:w="669"/>
        <w:gridCol w:w="669"/>
        <w:gridCol w:w="7970"/>
        <w:gridCol w:w="208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школы в с. Баркытбел на 130 мест Урджарского района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мест в с. Урджар Урджарского района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с. Урджар Урджарского района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объектов сферы образования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67585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67585</w:t>
            </w:r>
          </w:p>
        </w:tc>
      </w:tr>
      <w:tr>
        <w:trPr>
          <w:trHeight w:val="9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2-квартирного жилого дома в с. Таскескен Урджарского района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44085</w:t>
            </w:r>
          </w:p>
        </w:tc>
      </w:tr>
      <w:tr>
        <w:trPr>
          <w:trHeight w:val="7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2-квартирного жилого дома в с. Маканчи Урджарского района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2-квартирного жилого дома в с. Уржар Урджарского района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строительство многоквартирного дома Урджарского района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173299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173299</w:t>
            </w:r>
          </w:p>
        </w:tc>
      </w:tr>
      <w:tr>
        <w:trPr>
          <w:trHeight w:val="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 твердо-бытовых и прочих отходов емкостью до 120 тыс.м.куб/год в с. Урджар Урджарского района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47765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125534</w:t>
            </w:r>
          </w:p>
        </w:tc>
      </w:tr>
      <w:tr>
        <w:trPr>
          <w:trHeight w:val="1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с. Алтыншокы Урджарского района ВКО (2-й пусковой комплекс)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116534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водопроводных сетей в микрорайоне в с. Таскескен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водопроводных сетей в с. Маканчи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1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Опорным населенным пунктам Таскескен, Маканчи и Кабанбай на разработку генеральных планов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