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e604" w14:textId="40ae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21 декабря 2012 года № 12/2-V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13 декабря 2013 года N 21/2-V. Зарегистрировано Департаментом юстиции Восточно-Казахстанской области 19 декабря 2013 года N 3128. Прекращено действие по истечении срока действия (письмо Глубоковского районного маслихата от 19 декабря 2013 года № 302)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19.12.2013 № 302).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3111)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2013-2015 годы» от 21 декабря 2012 года № 12/2-V (зарегистрировано в Реестре государственной регистрации нормативных правовых актов за № 2805, опубликовано 15 января 2013 года в газетах «Ақ бұлақ», «Огни Прииртышья»)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3475206,2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1460381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5663,7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1962737,5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3592566,6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целевые трансферты из республиканского бюджета в сумме 348680,5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21354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6616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1968 тысяч тенге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111680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2050 тысяч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21677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26428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6291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45102,5 тысяч тенге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17241 тысяча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87373 тысячи тенге на апробирование подушевого финансирования начального, основного среднего и общего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Предусмотреть в районном бюджете возвратные трансферты в вышестоящие бюджеты в сумме 67813 тысяч тенге, в связи с передачей функций на апробирование подушевого финансирования начального, основного среднего и общего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Бурдаков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Глубоковского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21/2-V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860"/>
        <w:gridCol w:w="8497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3475206,2</w:t>
            </w:r>
          </w:p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1512468,7</w:t>
            </w:r>
          </w:p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342713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1962737,5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1962737,5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1962737,5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54"/>
        <w:gridCol w:w="697"/>
        <w:gridCol w:w="697"/>
        <w:gridCol w:w="7955"/>
        <w:gridCol w:w="208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3592566,6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322622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283988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75612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190371</w:t>
            </w:r>
          </w:p>
        </w:tc>
      </w:tr>
      <w:tr>
        <w:trPr>
          <w:trHeight w:val="6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183614,5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14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513,7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15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2372376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218902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108658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110244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2094302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2094302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1924837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169465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59172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59172</w:t>
            </w:r>
          </w:p>
        </w:tc>
      </w:tr>
      <w:tr>
        <w:trPr>
          <w:trHeight w:val="6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9940,4</w:t>
            </w:r>
          </w:p>
        </w:tc>
      </w:tr>
      <w:tr>
        <w:trPr>
          <w:trHeight w:val="11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326,6</w:t>
            </w:r>
          </w:p>
        </w:tc>
      </w:tr>
      <w:tr>
        <w:trPr>
          <w:trHeight w:val="10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168111,3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19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7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35191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4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30160,3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94614,1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</w:p>
        </w:tc>
      </w:tr>
      <w:tr>
        <w:trPr>
          <w:trHeight w:val="7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36745,6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30210,6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28210,6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44084,7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17988,7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6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9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</w:tr>
      <w:tr>
        <w:trPr>
          <w:trHeight w:val="12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</w:t>
            </w:r>
          </w:p>
        </w:tc>
      </w:tr>
      <w:tr>
        <w:trPr>
          <w:trHeight w:val="8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10870,2</w:t>
            </w:r>
          </w:p>
        </w:tc>
      </w:tr>
      <w:tr>
        <w:trPr>
          <w:trHeight w:val="11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9249,9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</w:p>
        </w:tc>
      </w:tr>
      <w:tr>
        <w:trPr>
          <w:trHeight w:val="7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8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8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4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60115,6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81108,8</w:t>
            </w:r>
          </w:p>
        </w:tc>
      </w:tr>
      <w:tr>
        <w:trPr>
          <w:trHeight w:val="7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4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69975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8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6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-169515,7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169515,7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21/2-V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решение вопросов обустройства сельских округов по</w:t>
      </w:r>
      <w:r>
        <w:br/>
      </w:r>
      <w:r>
        <w:rPr>
          <w:rFonts w:ascii="Times New Roman"/>
          <w:b/>
          <w:i w:val="false"/>
          <w:color w:val="000000"/>
        </w:rPr>
        <w:t>
реализации мер по содействию экономическому развитию регионов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</w:t>
      </w:r>
      <w:r>
        <w:rPr>
          <w:rFonts w:ascii="Times New Roman"/>
          <w:b/>
          <w:i w:val="false"/>
          <w:color w:val="000000"/>
        </w:rPr>
        <w:t>Программы «Развитие регионов»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591"/>
        <w:gridCol w:w="2351"/>
      </w:tblGrid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