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e1af" w14:textId="523e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11-2-V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17 июля 2013 года № 16-2-V. Зарегистрировано Департаментом юстиции Восточно-Казахстанской области 26 июля 2013 года № 3006.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 декабря 2013 года № 01/11-319)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30.12.2013 № 01/11-319).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«О внесении изменений и дополнений в решение от 7 декабря 2012 года № 8/99-V «Об областном бюджете на 2013-2015 годы», (зарегистрировано в Реестре государственной регистрации нормативных правовых актов за номером 2988)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2013-2015 годы» от 21 декабря 2012 года № 11-2-V (зарегистрировано в Реестре государственной регистрации нормативных правовых актов за номером 2801, опубликовано в районных газетах «Пульс района» от 11 января 2013 года № 4, «Аудан тынысы» от 11 января 2013 года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2944072,7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734366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2185983,7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3047184,9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второй, пятый, седьмой,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35315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8994 тысяч тенге –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17427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13465 тысяч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второй, пятый,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179859,2 тысяч тенге – на функционирование аппарата акима района в городе, города районного значения, поселка, аула (села), аульного (сельского) округа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52932 тысяч тенге – на обеспечение функционирования автомобильных дорог в городах районного значения, поселках, аулах (селах), аульных (сельских) округах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10015 тысяч тенге – на капитальные расходы государственных органов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Т. Оразаев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 У. Майжанов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16-2-V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657"/>
        <w:gridCol w:w="631"/>
        <w:gridCol w:w="8342"/>
        <w:gridCol w:w="2651"/>
      </w:tblGrid>
      <w:tr>
        <w:trPr>
          <w:trHeight w:val="12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2944072,7</w:t>
            </w:r>
          </w:p>
        </w:tc>
      </w:tr>
      <w:tr>
        <w:trPr>
          <w:trHeight w:val="2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734366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301749</w:t>
            </w:r>
          </w:p>
        </w:tc>
      </w:tr>
      <w:tr>
        <w:trPr>
          <w:trHeight w:val="2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301749</w:t>
            </w:r>
          </w:p>
        </w:tc>
      </w:tr>
      <w:tr>
        <w:trPr>
          <w:trHeight w:val="2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</w:tr>
      <w:tr>
        <w:trPr>
          <w:trHeight w:val="1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</w:tr>
      <w:tr>
        <w:trPr>
          <w:trHeight w:val="2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193743</w:t>
            </w:r>
          </w:p>
        </w:tc>
      </w:tr>
      <w:tr>
        <w:trPr>
          <w:trHeight w:val="2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109245</w:t>
            </w:r>
          </w:p>
        </w:tc>
      </w:tr>
      <w:tr>
        <w:trPr>
          <w:trHeight w:val="1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</w:t>
            </w:r>
          </w:p>
        </w:tc>
      </w:tr>
      <w:tr>
        <w:trPr>
          <w:trHeight w:val="1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4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2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2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1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1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2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2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2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2185983,7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2185983,7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2185983,7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81"/>
        <w:gridCol w:w="644"/>
        <w:gridCol w:w="737"/>
        <w:gridCol w:w="7806"/>
        <w:gridCol w:w="2653"/>
      </w:tblGrid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3047184,9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315518,2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281570,2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76361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189874,2</w:t>
            </w:r>
          </w:p>
        </w:tc>
      </w:tr>
      <w:tr>
        <w:trPr>
          <w:trHeight w:val="9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179859,2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</w:tr>
      <w:tr>
        <w:trPr>
          <w:trHeight w:val="12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15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</w:p>
        </w:tc>
      </w:tr>
      <w:tr>
        <w:trPr>
          <w:trHeight w:val="1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12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1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1825364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90644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90644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1597740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1597740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1557823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12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79894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196949</w:t>
            </w:r>
          </w:p>
        </w:tc>
      </w:tr>
      <w:tr>
        <w:trPr>
          <w:trHeight w:val="1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171356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171356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</w:p>
        </w:tc>
      </w:tr>
      <w:tr>
        <w:trPr>
          <w:trHeight w:val="17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45785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</w:p>
        </w:tc>
      </w:tr>
      <w:tr>
        <w:trPr>
          <w:trHeight w:val="18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9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260107,7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10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159228,7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58536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49036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100692,7</w:t>
            </w:r>
          </w:p>
        </w:tc>
      </w:tr>
      <w:tr>
        <w:trPr>
          <w:trHeight w:val="8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100692,7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66095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65443</w:t>
            </w:r>
          </w:p>
        </w:tc>
      </w:tr>
      <w:tr>
        <w:trPr>
          <w:trHeight w:val="1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151888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1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25566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28752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36289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12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83101,2</w:t>
            </w:r>
          </w:p>
        </w:tc>
      </w:tr>
      <w:tr>
        <w:trPr>
          <w:trHeight w:val="1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35563,2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10977,4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10977,4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16332,8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16278,8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9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9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1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18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11079,5</w:t>
            </w:r>
          </w:p>
        </w:tc>
      </w:tr>
      <w:tr>
        <w:trPr>
          <w:trHeight w:val="12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118277</w:t>
            </w:r>
          </w:p>
        </w:tc>
      </w:tr>
      <w:tr>
        <w:trPr>
          <w:trHeight w:val="1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116477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52932</w:t>
            </w:r>
          </w:p>
        </w:tc>
      </w:tr>
      <w:tr>
        <w:trPr>
          <w:trHeight w:val="10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52932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60244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9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51329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49277</w:t>
            </w:r>
          </w:p>
        </w:tc>
      </w:tr>
      <w:tr>
        <w:trPr>
          <w:trHeight w:val="12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1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2638,7</w:t>
            </w:r>
          </w:p>
        </w:tc>
      </w:tr>
      <w:tr>
        <w:trPr>
          <w:trHeight w:val="12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41448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0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-144560,2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144560,2</w:t>
            </w:r>
          </w:p>
        </w:tc>
      </w:tr>
      <w:tr>
        <w:trPr>
          <w:trHeight w:val="1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16-2-V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
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в разрезе аппаратов сельских (поселковых)</w:t>
      </w:r>
      <w:r>
        <w:br/>
      </w:r>
      <w:r>
        <w:rPr>
          <w:rFonts w:ascii="Times New Roman"/>
          <w:b/>
          <w:i w:val="false"/>
          <w:color w:val="000000"/>
        </w:rPr>
        <w:t>
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868"/>
        <w:gridCol w:w="2561"/>
      </w:tblGrid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179859,2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8262,5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15696,6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9193,5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10201,6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8276,4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16365,5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7873,4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7521,5</w:t>
            </w:r>
          </w:p>
        </w:tc>
      </w:tr>
      <w:tr>
        <w:trPr>
          <w:trHeight w:val="1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8391,5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11254,4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8815,5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13447,6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8854,5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8654,5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8706,5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7444,5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8933,7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16-2-V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123.013.</w:t>
      </w:r>
      <w:r>
        <w:br/>
      </w:r>
      <w:r>
        <w:rPr>
          <w:rFonts w:ascii="Times New Roman"/>
          <w:b/>
          <w:i w:val="false"/>
          <w:color w:val="000000"/>
        </w:rPr>
        <w:t>
Обеспечение функционирования автомобильных дорог в городах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поселках, аулах (селах),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округах в разрезе аппаратов сельских (поселковых) округов на</w:t>
      </w:r>
      <w:r>
        <w:br/>
      </w:r>
      <w:r>
        <w:rPr>
          <w:rFonts w:ascii="Times New Roman"/>
          <w:b/>
          <w:i w:val="false"/>
          <w:color w:val="000000"/>
        </w:rPr>
        <w:t>
2013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93"/>
        <w:gridCol w:w="2552"/>
      </w:tblGrid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52932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1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1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16-2-V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123.022.</w:t>
      </w:r>
      <w:r>
        <w:br/>
      </w:r>
      <w:r>
        <w:rPr>
          <w:rFonts w:ascii="Times New Roman"/>
          <w:b/>
          <w:i w:val="false"/>
          <w:color w:val="000000"/>
        </w:rPr>
        <w:t>
Капитальные расходы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в разрезе аппаратов сельских (поселковых) округов на 2013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9822"/>
        <w:gridCol w:w="2586"/>
      </w:tblGrid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