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8c3d" w14:textId="3ce8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23 июля 2010 года № 26/4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14 марта 2013 года N 15/4-V. Зарегистрировано Департаментом юстиции Восточно-Казахстанской области 04 апреля 2013 года N 2928. Утратило силу - решением Усть-Каменогорского городского маслихата Восточно-Казахстанской области от 23 декабря 2014 года N 34/5-V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23.12.2014 N 34/5-V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определения размера и порядка оказания жилищной помощи" от 23 июля 2010 года № 26/4 (зарегистрировано в Реестре государственной регистрации нормативных правовых актов за номером 5-1-149, опубликовано 16 августа 2010 года в газете "Дидар" № 101, 14 августа 2010 года в газете "Рудный Алтай" № 100)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потребления электроэнергии в месяц – 90 кВт на каждого проживающего, для одиноко проживающих пенсионеров, инвалидов – 120 кВт. Для жилищ, отапливаемых посредством теплофонов, учитывается расход электроэнергии на отопление 1 кв.м – 38,9 кВт в месяц;".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Сарро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