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1500" w14:textId="8aa1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14 июля 2009 года № 14/187-ІV "Об утверждении Правил присвоения звания "Почетный гражданин Восточно-Казахстанской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декабря 2013 года N 17/200-V. Зарегистрировано Департаментом юстиции Восточно-Казахстанской области 13 января 2014 года N 3158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12-2)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а также рассмотрев протест прокурора Восточно-Казахстанской области от 5 декабря 2013 года № 2-15-2013-22350 и представление об устранении нарушения закона Департамента юстиции Восточно-Казахстанской области от 5 декабря 2013 года № 06-06/3274,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утверждении Правил присвоения звания «Почетный гражданин Восточно-Казахстанской области (города, района)» от 14 июля 2009 года № 14/187-ІV (зарегистрировано в Реестре государственной регистрации нормативных правовых актов № 2512, опубликовано в газетах «Дидар» от 26 августа 2009 года № 140-141, «Рудный Алтай» от 25 августа 2009 года № 132)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Расходы по изготовлению удостоверений, нагрудных знаков и их регистрация осуществляются в установленном законодательством порядке за счет и в пределах средств, предусматриваемых в соответствующем бюджете области (города, района).».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Солдатов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