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c0f" w14:textId="f39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
Северо-Казахстанской области от 24 декабря 2012 года № 491 "Об организации общественных работ в Мамлютском районе Северо-Казахстанской области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21 октября 2013 года N 348. Зарегистрировано Департаментом юстиции Северо-Казахстанской области 14 ноября 2013 года N 2400. Утратило силу (письмо акимата Мамлютского района Северо-Казахстанской области от 27 января 2014 года N 11.1.2-13/61)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акимата Мамлютского района Северо-Казахстанской области от 27 января 2014 года N 11.1.2-13/61)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24 декабря 2012 года № 491 «Об организации общественных работ в Мамлютском районе Северо-Казахстанской области в 2013 году» (зарегистрировано в Реестре государственной регистрации нормативных правовых актов под № 2094, опубликовано 25 января 2013 года в районных газетах «Солтүстік жұлдызы» и «Знамя труда»)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«Управления юстиции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 Ж.А. Чукатова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филиала «Мамлютский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  Б.С. Абилькаирова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управляющий Мамлютского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Д.З. Бектасов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Мамлютского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 П.В. Мартынюк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«Мамлютский районный архив»                    О.Н. Рогачева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